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57" w:rsidRDefault="00655DFB">
      <w:pPr>
        <w:tabs>
          <w:tab w:val="left" w:pos="5954"/>
        </w:tabs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  <w:szCs w:val="32"/>
        </w:rPr>
        <w:t>PEDAGOOGILIST PRAKTIKAT JUHENDAVA ÕPETAJA PÄDEVUSPÕHINE HINDAMISLEHT</w:t>
      </w:r>
    </w:p>
    <w:p w:rsidR="00393657" w:rsidRDefault="00393657">
      <w:pPr>
        <w:tabs>
          <w:tab w:val="left" w:pos="5954"/>
        </w:tabs>
        <w:rPr>
          <w:rFonts w:ascii="Calibri" w:eastAsia="Calibri" w:hAnsi="Calibri" w:cs="Calibri"/>
          <w:sz w:val="28"/>
          <w:szCs w:val="28"/>
        </w:rPr>
      </w:pPr>
    </w:p>
    <w:p w:rsidR="00393657" w:rsidRDefault="00655DFB">
      <w:pPr>
        <w:tabs>
          <w:tab w:val="left" w:pos="595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Üliõpilase nimi:</w:t>
      </w:r>
    </w:p>
    <w:p w:rsidR="00393657" w:rsidRDefault="00655DFB">
      <w:pPr>
        <w:tabs>
          <w:tab w:val="left" w:pos="595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Hindamise aeg ja koht:</w:t>
      </w:r>
    </w:p>
    <w:p w:rsidR="00393657" w:rsidRDefault="00655DFB">
      <w:pPr>
        <w:tabs>
          <w:tab w:val="left" w:pos="5954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Praktika juhendaja/ hindaja nimi:</w:t>
      </w:r>
    </w:p>
    <w:p w:rsidR="00393657" w:rsidRDefault="00393657">
      <w:pPr>
        <w:tabs>
          <w:tab w:val="left" w:pos="5954"/>
        </w:tabs>
        <w:rPr>
          <w:rFonts w:ascii="Calibri" w:eastAsia="Calibri" w:hAnsi="Calibri" w:cs="Calibri"/>
        </w:rPr>
      </w:pPr>
    </w:p>
    <w:tbl>
      <w:tblPr>
        <w:tblStyle w:val="a"/>
        <w:tblW w:w="11200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1134"/>
        <w:gridCol w:w="3403"/>
      </w:tblGrid>
      <w:tr w:rsidR="00393657">
        <w:trPr>
          <w:trHeight w:val="580"/>
        </w:trPr>
        <w:tc>
          <w:tcPr>
            <w:tcW w:w="567" w:type="dxa"/>
            <w:vMerge w:val="restart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96" w:type="dxa"/>
            <w:tcBorders>
              <w:bottom w:val="single" w:sz="4" w:space="0" w:color="000000"/>
            </w:tcBorders>
            <w:vAlign w:val="center"/>
          </w:tcPr>
          <w:p w:rsidR="00393657" w:rsidRDefault="00655DFB">
            <w:pPr>
              <w:tabs>
                <w:tab w:val="left" w:pos="595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Pädevus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93657" w:rsidRDefault="00655DFB">
            <w:pPr>
              <w:tabs>
                <w:tab w:val="left" w:pos="595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Hinnang</w:t>
            </w:r>
          </w:p>
        </w:tc>
        <w:tc>
          <w:tcPr>
            <w:tcW w:w="3403" w:type="dxa"/>
            <w:vMerge w:val="restart"/>
            <w:vAlign w:val="center"/>
          </w:tcPr>
          <w:p w:rsidR="00393657" w:rsidRDefault="00655DFB">
            <w:pPr>
              <w:tabs>
                <w:tab w:val="left" w:pos="595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Selgitus (eriti oluline juhul, kui märgite, et „ei vasta“)</w:t>
            </w:r>
          </w:p>
        </w:tc>
      </w:tr>
      <w:tr w:rsidR="00393657">
        <w:trPr>
          <w:trHeight w:val="680"/>
        </w:trPr>
        <w:tc>
          <w:tcPr>
            <w:tcW w:w="567" w:type="dxa"/>
            <w:vMerge/>
          </w:tcPr>
          <w:p w:rsidR="00393657" w:rsidRDefault="00393657">
            <w:pPr>
              <w:tabs>
                <w:tab w:val="left" w:pos="595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93657" w:rsidRDefault="00655DFB">
            <w:pPr>
              <w:tabs>
                <w:tab w:val="left" w:pos="595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Hindamiskriteerium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393657" w:rsidRDefault="00655DFB">
            <w:pPr>
              <w:tabs>
                <w:tab w:val="left" w:pos="595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+ (vastab)</w:t>
            </w:r>
          </w:p>
          <w:p w:rsidR="00393657" w:rsidRDefault="00655DFB">
            <w:pPr>
              <w:tabs>
                <w:tab w:val="left" w:pos="5954"/>
              </w:tabs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 (osaliselt vastab)</w:t>
            </w:r>
          </w:p>
          <w:p w:rsidR="00393657" w:rsidRDefault="00655DFB">
            <w:pPr>
              <w:tabs>
                <w:tab w:val="left" w:pos="5954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 (ei vasta, polnud võimalik hinnata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403" w:type="dxa"/>
            <w:vMerge/>
            <w:vAlign w:val="center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B.2.1</w:t>
            </w:r>
          </w:p>
        </w:tc>
        <w:tc>
          <w:tcPr>
            <w:tcW w:w="10633" w:type="dxa"/>
            <w:gridSpan w:val="3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Õpi- ja õpetamistegevuse kavandamine ja läbi viimine</w:t>
            </w: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Arvestab rühma ja õppija ainealase taseme, õpioskuste ja õpimotivatsiooni tasemega õppeeesmärkide seadmisel ja õpetamistegevuste kavandamisel. 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Arvestab õpi- ja õpetamistegevuse planeerimisel laste õppimise ja õpetamise eripärasid. Tunneb ära haridusliku erivajaduse ning vajadusel kaasab juhendajaga koostöös tugispetsialisti õpikeskkonna tingimuste muutmiseks. 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Valib lähtuvalt õppekava ja õppeprotsessi eesmärkidest õpetamiseks ja õppimiseks sobivad meetodid, hindamismudeli ning planeerib tegevuste aja. Tunnikavade koostamisel lähtub õpperühma vajadustest ja õppekavas fikseeritud õpitulemustest. 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Informeerib õppijaid õpieesmärkidest, sisust, õppekorraldusest, hindamismudelitest. On tutvunud antud koolis kasutatavate infokanalitega ja kasutab neid.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32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 pädev õpetatava(te)s aine(te)s, oskab sellest lähtuvalt õppetegevust planeerida.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Arvestab ja võimalusel rakendab õppe planeerimisel ainetevahelise lõimingu põhimõtteid. 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Oskab hinnata ja valida sobiva õppevara ja IKT-vahendid lähtuvalt õppijate tasemest ning  õpieesmärkidest. 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633" w:type="dxa"/>
            <w:gridSpan w:val="3"/>
            <w:tcBorders>
              <w:bottom w:val="single" w:sz="4" w:space="0" w:color="000000"/>
            </w:tcBorders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Kokkuvõte:</w:t>
            </w:r>
          </w:p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Tugevused: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lastRenderedPageBreak/>
              <w:t>Arenguruum ja soovitused: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lastRenderedPageBreak/>
              <w:t>B.2.2</w:t>
            </w:r>
          </w:p>
        </w:tc>
        <w:tc>
          <w:tcPr>
            <w:tcW w:w="10633" w:type="dxa"/>
            <w:gridSpan w:val="3"/>
            <w:tcBorders>
              <w:bottom w:val="single" w:sz="4" w:space="0" w:color="000000"/>
            </w:tcBorders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Õpikeskkonna kujundamine</w:t>
            </w: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Tagab füüsilise õpikeskkonna turvalisuse, kujundab keskkonda vastavalt võimalustele ja vajadustele, lähtuvalt õppijate vajadustest ja õpieesmärkidest.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Loob vaimselt ja emotsionaalselt turvalise, arengut ja loovust toetava, motiveeriva ning üksteist arvestava õpikeskkonna, lähtudes erinevate õppijate individuaalsetest vajadustest ja õpieesmärkidest.  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Lahendab distsipliiniprobleeme, kaasates vajadusel ja koostöös juhendajaga kolleege</w:t>
            </w:r>
            <w:r>
              <w:t xml:space="preserve">, </w:t>
            </w:r>
            <w:r>
              <w:rPr>
                <w:rFonts w:ascii="Calibri" w:eastAsia="Calibri" w:hAnsi="Calibri" w:cs="Calibri"/>
              </w:rPr>
              <w:t>tugispetsialiste ja lapsevanemaid.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Analüüsib vaimse ja sotsiaalse keskkonna</w:t>
            </w:r>
          </w:p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kujundamise võimalusi ning teeb lähtuvalt analüüsi tulemustest muudatusi õpikeskkonnas.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Loob õppimist soodustava ja</w:t>
            </w:r>
          </w:p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toetava keskkonna. Reageerib klassis toimuvale, teeb koostööd õpilaste ja kolleegidega. 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Analüüsib ennast õppimist toetava õpikeskkonna kujundajana. 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Järgib haridusasutuse kodukorda, viib ennast kurssi olemasolevate reeglitega. Vajadusel juhib täiendavate kokkulepete sõlmimise protsessi koostöös õppijatega ning jälgib kokkulepitud reeglite rakendamist.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633" w:type="dxa"/>
            <w:gridSpan w:val="3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Kokkuvõte:</w:t>
            </w:r>
          </w:p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Tugevused: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Arenguruum ja soovitused: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B.2.3</w:t>
            </w:r>
          </w:p>
        </w:tc>
        <w:tc>
          <w:tcPr>
            <w:tcW w:w="10633" w:type="dxa"/>
            <w:gridSpan w:val="3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Õppimise ja arengu toetamine</w:t>
            </w: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Õpetab, lähtudes õppija eripärast, seatud eesmärkidest ja võimalusel ainetevahelisest lõimingust. Suudab </w:t>
            </w:r>
            <w:r>
              <w:rPr>
                <w:rFonts w:ascii="Calibri" w:eastAsia="Calibri" w:hAnsi="Calibri" w:cs="Calibri"/>
              </w:rPr>
              <w:lastRenderedPageBreak/>
              <w:t xml:space="preserve">diferentseerida vastavalt õppekavale, märgata nõrgemat ja tugevamat õppijat. 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Rakendab õpetamisel erinevaid meetodeid ja rutiinseid toiminguid (nt eelteadmiste väljaselgitamine, oodatud õpitulemustest ja -tegevustest teavitamine, õpitegevused eesmärkide saavutamiseks, kokkuvõte saavutatud tulemustest, tagasiside). Kasutab tunnikavas planeeritud meetodeid.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Oskab reflekteerida tunnis toimunut ja enda rolli ning kohandab tegevusi paindlikult lähtuvalt õppijate vajadustest. 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Märkab (ja ennetab) konflikti tekkimise võimalust, oskab vajadusel valida sobivad sekkumistegevused, leida tõhusaid lahendusi ning vajadusel aitab kaasata konflikti lahendamisse kolleege, õppijaid, tugispetsialiste ning lapsevanemaid. 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Märkab ning arvestab õppeprotsessis õppijate erinevusi ja erivajadusi (nt õpistiilid, andekus, õpiraskused, kultuurilised eripärad) ning kaasab vajadusel ja juhendajaga koostöös õppija arengu toetamiseks kolleege, tugispetsialiste ja lapsevanemaid.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Toetab õppijate õpi- ja sotsiaalseid oskusi, kasutades erinevaid rühmapõhiseid ja individuaalseid õppevorme.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Motiveerib õppima, pakkudes õppijale elulisi/ loovaid ja jõukohaseid õppeülesandeid ja luues eduelamuse.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Rakendab süsteemselt erinevaid õppimist toetavaid tagasiside ja hindamise viise (sh kujundav hindamine), lähtudes õppija eripärast ja hindamist reguleerivatest dokumentidest. Teavitab õppijaid hindamiskriteeriumitest. 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Toetab ennastjuhtiva õppija kujunemist, suunates õppijat individuaalsete õpieesmärkide seadmisele ja eneseanalüüsile. Annab osa vastutusest õppeprotsessi eesmärkide saavutamisel õppijale, kaasab õpilasi. 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Väärtustab õppijat, peab tähtsaks eetilisi tõekspidamisi, järgib õpetaja kutse-eetikat.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633" w:type="dxa"/>
            <w:gridSpan w:val="3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Kokkuvõte:</w:t>
            </w:r>
          </w:p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Tugevused: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Arenguruum ja soovitused: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B.2.4</w:t>
            </w:r>
          </w:p>
        </w:tc>
        <w:tc>
          <w:tcPr>
            <w:tcW w:w="10633" w:type="dxa"/>
            <w:gridSpan w:val="3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Refleksioon ja professionaalne enesearendamine</w:t>
            </w: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Reflekteerib oma õpetamist ning ainealast pädevust, kogub tagasisidet õppijate õpitegevuste ning -tulemuste</w:t>
            </w:r>
          </w:p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kohta ning rakendab tulemusi õpetamise parendamisel ja enese arendamisel. Arvestab juhendajalt saadud tagasisidega. 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Otsib probleemide tekkimisel vajadusel abi juhendajalt, kolleegidelt, organisatsiooni juhtkonnalt, tugispetsialistilt jt.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Tuleb toime koormusega ning suudab end hoida füüsilises, vaimses ja emotsionaalses tasakaalus. On kohanemisvõimeline, oskab hinnata enda toimetulekut.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B.2.5</w:t>
            </w:r>
          </w:p>
        </w:tc>
        <w:tc>
          <w:tcPr>
            <w:tcW w:w="10633" w:type="dxa"/>
            <w:gridSpan w:val="3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Nõustamine ja mentorlus</w:t>
            </w: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6096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Toetab ja nõustab õppijat õpioskuste arendamisel ja ainealaste teadmiste omandamisel ning konkreetse vajaduse või küsimuse ilmnemisel.  </w:t>
            </w:r>
          </w:p>
        </w:tc>
        <w:tc>
          <w:tcPr>
            <w:tcW w:w="1134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B.2.6</w:t>
            </w:r>
          </w:p>
        </w:tc>
        <w:tc>
          <w:tcPr>
            <w:tcW w:w="10633" w:type="dxa"/>
            <w:gridSpan w:val="3"/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Arendus-, loome- ja teadustegevus</w:t>
            </w:r>
          </w:p>
        </w:tc>
      </w:tr>
      <w:tr w:rsidR="00393657">
        <w:trPr>
          <w:trHeight w:val="580"/>
        </w:trPr>
        <w:tc>
          <w:tcPr>
            <w:tcW w:w="567" w:type="dxa"/>
          </w:tcPr>
          <w:p w:rsidR="00393657" w:rsidRDefault="00393657">
            <w:pPr>
              <w:numPr>
                <w:ilvl w:val="0"/>
                <w:numId w:val="1"/>
              </w:numPr>
              <w:tabs>
                <w:tab w:val="left" w:pos="5954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tcBorders>
              <w:bottom w:val="single" w:sz="4" w:space="0" w:color="000000"/>
            </w:tcBorders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Õppetöö kavandamisel koostab ja/või kohandab õpivara, arvestades õppijate vajadusi. Analüüsib tagasisidevestluse käigus enda poolt kasutatava õppekomplekti/IKT-vahendi vastavust õpieesmärkide ja rühma tasemele, materjali sobivust hariduslike erivajadustega õpilastega tööks ning toob näiteid/teeb ettepanekuid vajadusel õppevara kohandamiseks.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3" w:type="dxa"/>
            <w:tcBorders>
              <w:bottom w:val="single" w:sz="4" w:space="0" w:color="000000"/>
            </w:tcBorders>
          </w:tcPr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93657">
        <w:trPr>
          <w:trHeight w:val="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57" w:rsidRDefault="00393657">
            <w:pPr>
              <w:tabs>
                <w:tab w:val="left" w:pos="5954"/>
              </w:tabs>
              <w:ind w:left="720" w:hanging="360"/>
              <w:rPr>
                <w:rFonts w:ascii="Calibri" w:eastAsia="Calibri" w:hAnsi="Calibri" w:cs="Calibri"/>
                <w:color w:val="FF0000"/>
                <w:sz w:val="32"/>
                <w:szCs w:val="32"/>
              </w:rPr>
            </w:pPr>
          </w:p>
        </w:tc>
        <w:tc>
          <w:tcPr>
            <w:tcW w:w="10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Kokkuvõte:</w:t>
            </w:r>
          </w:p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Tugevused: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655DFB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Arenguruum ja soovitused:</w:t>
            </w: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393657" w:rsidRDefault="00393657">
            <w:pPr>
              <w:tabs>
                <w:tab w:val="left" w:pos="5954"/>
              </w:tabs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</w:tbl>
    <w:p w:rsidR="00393657" w:rsidRDefault="00393657">
      <w:pPr>
        <w:tabs>
          <w:tab w:val="left" w:pos="5954"/>
        </w:tabs>
        <w:rPr>
          <w:rFonts w:ascii="Calibri" w:eastAsia="Calibri" w:hAnsi="Calibri" w:cs="Calibri"/>
        </w:rPr>
      </w:pPr>
    </w:p>
    <w:p w:rsidR="00393657" w:rsidRDefault="00655DFB">
      <w:pPr>
        <w:tabs>
          <w:tab w:val="left" w:pos="5954"/>
        </w:tabs>
      </w:pPr>
      <w:r>
        <w:rPr>
          <w:rFonts w:ascii="Calibri" w:eastAsia="Calibri" w:hAnsi="Calibri" w:cs="Calibri"/>
        </w:rPr>
        <w:t xml:space="preserve">Hindaja allkiri: ...........................................               </w:t>
      </w:r>
    </w:p>
    <w:sectPr w:rsidR="00393657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254" w:rsidRDefault="00A00254">
      <w:r>
        <w:separator/>
      </w:r>
    </w:p>
  </w:endnote>
  <w:endnote w:type="continuationSeparator" w:id="0">
    <w:p w:rsidR="00A00254" w:rsidRDefault="00A0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254" w:rsidRDefault="00A00254">
      <w:r>
        <w:separator/>
      </w:r>
    </w:p>
  </w:footnote>
  <w:footnote w:type="continuationSeparator" w:id="0">
    <w:p w:rsidR="00A00254" w:rsidRDefault="00A0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657" w:rsidRDefault="00393657">
    <w:pPr>
      <w:tabs>
        <w:tab w:val="center" w:pos="4513"/>
        <w:tab w:val="right" w:pos="9026"/>
      </w:tabs>
      <w:jc w:val="right"/>
      <w:rPr>
        <w:rFonts w:ascii="Calibri" w:eastAsia="Calibri" w:hAnsi="Calibri" w:cs="Calibri"/>
        <w:sz w:val="22"/>
        <w:szCs w:val="22"/>
      </w:rPr>
    </w:pPr>
  </w:p>
  <w:p w:rsidR="00393657" w:rsidRDefault="00655DFB">
    <w:pPr>
      <w:tabs>
        <w:tab w:val="center" w:pos="4513"/>
        <w:tab w:val="right" w:pos="9026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Õpetaja, tase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2366"/>
    <w:multiLevelType w:val="multilevel"/>
    <w:tmpl w:val="508A15D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57"/>
    <w:rsid w:val="00393657"/>
    <w:rsid w:val="003A6772"/>
    <w:rsid w:val="00613557"/>
    <w:rsid w:val="00655DFB"/>
    <w:rsid w:val="00A0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2C754-7E9A-46FE-A185-0CC0FBDB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</dc:creator>
  <cp:lastModifiedBy>Maaja</cp:lastModifiedBy>
  <cp:revision>2</cp:revision>
  <dcterms:created xsi:type="dcterms:W3CDTF">2018-01-11T14:46:00Z</dcterms:created>
  <dcterms:modified xsi:type="dcterms:W3CDTF">2018-01-11T14:46:00Z</dcterms:modified>
</cp:coreProperties>
</file>