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3E99" w14:textId="17440622" w:rsidR="00734C7E" w:rsidRDefault="00734C7E" w:rsidP="00734C7E">
      <w:pPr>
        <w:spacing w:after="240" w:line="240" w:lineRule="auto"/>
        <w:jc w:val="both"/>
        <w:rPr>
          <w:b/>
          <w:bCs/>
          <w:iCs/>
          <w:sz w:val="28"/>
          <w:szCs w:val="28"/>
        </w:rPr>
      </w:pPr>
      <w:r>
        <w:rPr>
          <w:b/>
          <w:bCs/>
          <w:iCs/>
          <w:sz w:val="28"/>
          <w:szCs w:val="28"/>
        </w:rPr>
        <w:t>Riigihalduse minister Riina Solman                                                05.12.2022 TLÜ</w:t>
      </w:r>
    </w:p>
    <w:p w14:paraId="4ECB9255" w14:textId="77777777" w:rsidR="00734C7E" w:rsidRPr="00734C7E" w:rsidRDefault="00734C7E" w:rsidP="00734C7E">
      <w:pPr>
        <w:shd w:val="clear" w:color="auto" w:fill="FFFFFF"/>
        <w:spacing w:after="0" w:line="450" w:lineRule="atLeast"/>
        <w:textAlignment w:val="baseline"/>
        <w:outlineLvl w:val="0"/>
        <w:rPr>
          <w:rFonts w:ascii="Times New Roman" w:eastAsia="Times New Roman" w:hAnsi="Times New Roman" w:cs="Times New Roman"/>
          <w:b/>
          <w:bCs/>
          <w:i/>
          <w:iCs/>
          <w:color w:val="3C4445"/>
          <w:spacing w:val="-23"/>
          <w:kern w:val="36"/>
          <w:sz w:val="28"/>
          <w:szCs w:val="28"/>
          <w:lang w:eastAsia="et-EE"/>
        </w:rPr>
      </w:pPr>
      <w:r w:rsidRPr="00734C7E">
        <w:rPr>
          <w:rFonts w:ascii="Times New Roman" w:eastAsia="Times New Roman" w:hAnsi="Times New Roman" w:cs="Times New Roman"/>
          <w:b/>
          <w:bCs/>
          <w:i/>
          <w:iCs/>
          <w:color w:val="3C4445"/>
          <w:spacing w:val="-23"/>
          <w:kern w:val="36"/>
          <w:sz w:val="28"/>
          <w:szCs w:val="28"/>
          <w:bdr w:val="none" w:sz="0" w:space="0" w:color="auto" w:frame="1"/>
          <w:lang w:eastAsia="et-EE"/>
        </w:rPr>
        <w:t>Kollokvium “Ülikoolide, riigi ja kohaliku omavalitsuse koostöö arengust - ideekorjest Eesti VIII Omavalitsuspäeva ja Harjumaa III Omavalitsuspäeva kontekstis”</w:t>
      </w:r>
    </w:p>
    <w:p w14:paraId="3871DAEA" w14:textId="77777777" w:rsidR="00734C7E" w:rsidRDefault="00734C7E" w:rsidP="00734C7E">
      <w:pPr>
        <w:spacing w:after="240" w:line="240" w:lineRule="auto"/>
        <w:jc w:val="both"/>
        <w:rPr>
          <w:b/>
          <w:bCs/>
          <w:iCs/>
          <w:sz w:val="28"/>
          <w:szCs w:val="28"/>
        </w:rPr>
      </w:pPr>
    </w:p>
    <w:p w14:paraId="36E7B9EF" w14:textId="1FFFCF81" w:rsidR="00AA539C" w:rsidRPr="00734C7E" w:rsidRDefault="00AA539C" w:rsidP="00734C7E">
      <w:pPr>
        <w:spacing w:after="240" w:line="240" w:lineRule="auto"/>
        <w:jc w:val="both"/>
        <w:rPr>
          <w:b/>
          <w:bCs/>
          <w:iCs/>
          <w:sz w:val="28"/>
          <w:szCs w:val="28"/>
        </w:rPr>
      </w:pPr>
      <w:r w:rsidRPr="00734C7E">
        <w:rPr>
          <w:b/>
          <w:bCs/>
          <w:iCs/>
          <w:sz w:val="28"/>
          <w:szCs w:val="28"/>
        </w:rPr>
        <w:t xml:space="preserve">Head omavalitsute inimesed, regionaalpoliitika sõbrad, külalised </w:t>
      </w:r>
    </w:p>
    <w:p w14:paraId="3BCA93B7" w14:textId="43C471EC" w:rsidR="00AA539C" w:rsidRPr="00734C7E" w:rsidRDefault="00414D05" w:rsidP="00734C7E">
      <w:pPr>
        <w:spacing w:after="240" w:line="240" w:lineRule="auto"/>
        <w:jc w:val="both"/>
        <w:rPr>
          <w:iCs/>
          <w:sz w:val="28"/>
          <w:szCs w:val="28"/>
        </w:rPr>
      </w:pPr>
      <w:r w:rsidRPr="00734C7E">
        <w:rPr>
          <w:iCs/>
          <w:sz w:val="28"/>
          <w:szCs w:val="28"/>
        </w:rPr>
        <w:t>Ma</w:t>
      </w:r>
      <w:r w:rsidR="00AA539C" w:rsidRPr="00734C7E">
        <w:rPr>
          <w:iCs/>
          <w:sz w:val="28"/>
          <w:szCs w:val="28"/>
        </w:rPr>
        <w:t xml:space="preserve"> tänan </w:t>
      </w:r>
      <w:r w:rsidRPr="00734C7E">
        <w:rPr>
          <w:iCs/>
          <w:sz w:val="28"/>
          <w:szCs w:val="28"/>
        </w:rPr>
        <w:t xml:space="preserve">ka </w:t>
      </w:r>
      <w:r w:rsidR="00AA539C" w:rsidRPr="00734C7E">
        <w:rPr>
          <w:iCs/>
          <w:sz w:val="28"/>
          <w:szCs w:val="28"/>
        </w:rPr>
        <w:t>tänase kollokviumi korraldajaid, kes palusid mul öelda mõned sõnad eesti regionaalse arengu põhisuundumustest</w:t>
      </w:r>
      <w:r w:rsidRPr="00734C7E">
        <w:rPr>
          <w:iCs/>
          <w:sz w:val="28"/>
          <w:szCs w:val="28"/>
        </w:rPr>
        <w:t>. Seda ma nüüd ka teen.</w:t>
      </w:r>
    </w:p>
    <w:p w14:paraId="6653120F" w14:textId="6537FB33" w:rsidR="00AA539C" w:rsidRPr="00734C7E" w:rsidRDefault="00AA539C" w:rsidP="00734C7E">
      <w:pPr>
        <w:spacing w:after="120" w:line="240" w:lineRule="auto"/>
        <w:jc w:val="both"/>
        <w:rPr>
          <w:iCs/>
          <w:sz w:val="28"/>
          <w:szCs w:val="28"/>
        </w:rPr>
      </w:pPr>
      <w:r w:rsidRPr="00734C7E">
        <w:rPr>
          <w:iCs/>
          <w:sz w:val="28"/>
          <w:szCs w:val="28"/>
        </w:rPr>
        <w:t>Regionaalse arengu suunamisega tegelevad suuremal või väiksemal määral kõik riigid. Ja sama tõsi on see, et piirkondlikud erinevused eksisteerivad igas riigis. Küsimus on selles, kui suured need erinevused on. Ja see omakorda sõltub palju sellest, kui aktiivselt riik vahendeid ümber suunab regioonide vahel. Vahel arvatakse, et regionaalpoliitika alati selline mäng kus ühe regiooni võit on teise kaotus, aga mina usun pigem sellesse, et targalt tegutsedes saab 2+2 olla ka rohkem kui neli. Võti on eelkõige selles, et iga regioon peab saama areneda oma eripärasid arvestades ja oma tu</w:t>
      </w:r>
      <w:r w:rsidR="00162696" w:rsidRPr="00734C7E">
        <w:rPr>
          <w:iCs/>
          <w:sz w:val="28"/>
          <w:szCs w:val="28"/>
        </w:rPr>
        <w:t>gevusi rõhutades.</w:t>
      </w:r>
    </w:p>
    <w:p w14:paraId="12A9D242" w14:textId="731DA9D7" w:rsidR="00AA539C" w:rsidRPr="00734C7E" w:rsidRDefault="00AA539C" w:rsidP="00734C7E">
      <w:pPr>
        <w:spacing w:after="120" w:line="240" w:lineRule="auto"/>
        <w:jc w:val="both"/>
        <w:rPr>
          <w:iCs/>
          <w:sz w:val="28"/>
          <w:szCs w:val="28"/>
        </w:rPr>
      </w:pPr>
      <w:r w:rsidRPr="00734C7E">
        <w:rPr>
          <w:iCs/>
          <w:sz w:val="28"/>
          <w:szCs w:val="28"/>
        </w:rPr>
        <w:t xml:space="preserve">Eesti </w:t>
      </w:r>
      <w:r w:rsidR="008C76EB" w:rsidRPr="00734C7E">
        <w:rPr>
          <w:iCs/>
          <w:sz w:val="28"/>
          <w:szCs w:val="28"/>
        </w:rPr>
        <w:t>R</w:t>
      </w:r>
      <w:r w:rsidR="005F228A" w:rsidRPr="00734C7E">
        <w:rPr>
          <w:iCs/>
          <w:sz w:val="28"/>
          <w:szCs w:val="28"/>
        </w:rPr>
        <w:t xml:space="preserve">egionaalse arengu tegevuskava </w:t>
      </w:r>
      <w:r w:rsidRPr="00734C7E">
        <w:rPr>
          <w:iCs/>
          <w:sz w:val="28"/>
          <w:szCs w:val="28"/>
        </w:rPr>
        <w:t xml:space="preserve">sai valmis 2021. aastal. Selle kava </w:t>
      </w:r>
      <w:r w:rsidR="005932AE" w:rsidRPr="00734C7E">
        <w:rPr>
          <w:iCs/>
          <w:sz w:val="28"/>
          <w:szCs w:val="28"/>
        </w:rPr>
        <w:t>ülesandeks on koondada olulisemad keskvalitsuse tegevused leevendamaks regionaalse arengu probleeme ja tagada ühtlasemat piirkondlikku arengut Eestis</w:t>
      </w:r>
      <w:r w:rsidRPr="00734C7E">
        <w:rPr>
          <w:iCs/>
          <w:sz w:val="28"/>
          <w:szCs w:val="28"/>
        </w:rPr>
        <w:t xml:space="preserve">. Kava </w:t>
      </w:r>
      <w:r w:rsidR="005932AE" w:rsidRPr="00734C7E">
        <w:rPr>
          <w:iCs/>
          <w:sz w:val="28"/>
          <w:szCs w:val="28"/>
        </w:rPr>
        <w:t xml:space="preserve">koostamisel </w:t>
      </w:r>
      <w:r w:rsidR="0043110B" w:rsidRPr="00734C7E">
        <w:rPr>
          <w:iCs/>
          <w:sz w:val="28"/>
          <w:szCs w:val="28"/>
        </w:rPr>
        <w:t>hinna</w:t>
      </w:r>
      <w:r w:rsidR="005F228A" w:rsidRPr="00734C7E">
        <w:rPr>
          <w:iCs/>
          <w:sz w:val="28"/>
          <w:szCs w:val="28"/>
        </w:rPr>
        <w:t>ti</w:t>
      </w:r>
      <w:r w:rsidR="008C76EB" w:rsidRPr="00734C7E">
        <w:rPr>
          <w:iCs/>
          <w:sz w:val="28"/>
          <w:szCs w:val="28"/>
        </w:rPr>
        <w:t xml:space="preserve"> </w:t>
      </w:r>
      <w:r w:rsidR="0043110B" w:rsidRPr="00734C7E">
        <w:rPr>
          <w:iCs/>
          <w:sz w:val="28"/>
          <w:szCs w:val="28"/>
        </w:rPr>
        <w:t>lähemalt</w:t>
      </w:r>
      <w:r w:rsidR="005F228A" w:rsidRPr="00734C7E">
        <w:rPr>
          <w:iCs/>
          <w:sz w:val="28"/>
          <w:szCs w:val="28"/>
        </w:rPr>
        <w:t xml:space="preserve"> </w:t>
      </w:r>
      <w:r w:rsidR="005932AE" w:rsidRPr="00734C7E">
        <w:rPr>
          <w:iCs/>
          <w:sz w:val="28"/>
          <w:szCs w:val="28"/>
        </w:rPr>
        <w:t xml:space="preserve">Eesti </w:t>
      </w:r>
      <w:r w:rsidR="008836E4" w:rsidRPr="00734C7E">
        <w:rPr>
          <w:iCs/>
          <w:sz w:val="28"/>
          <w:szCs w:val="28"/>
        </w:rPr>
        <w:t xml:space="preserve">regionaalse arengu </w:t>
      </w:r>
      <w:r w:rsidR="005F228A" w:rsidRPr="00734C7E">
        <w:rPr>
          <w:iCs/>
          <w:sz w:val="28"/>
          <w:szCs w:val="28"/>
        </w:rPr>
        <w:t>hetkeolukorda ja suundumusi</w:t>
      </w:r>
      <w:r w:rsidRPr="00734C7E">
        <w:rPr>
          <w:iCs/>
          <w:sz w:val="28"/>
          <w:szCs w:val="28"/>
        </w:rPr>
        <w:t xml:space="preserve">. </w:t>
      </w:r>
    </w:p>
    <w:p w14:paraId="011FFC33" w14:textId="29B6830B" w:rsidR="00AA539C" w:rsidRPr="00734C7E" w:rsidRDefault="00AA539C" w:rsidP="00734C7E">
      <w:pPr>
        <w:spacing w:after="120" w:line="240" w:lineRule="auto"/>
        <w:jc w:val="both"/>
        <w:rPr>
          <w:iCs/>
          <w:sz w:val="28"/>
          <w:szCs w:val="28"/>
        </w:rPr>
      </w:pPr>
      <w:r w:rsidRPr="00734C7E">
        <w:rPr>
          <w:iCs/>
          <w:sz w:val="28"/>
          <w:szCs w:val="28"/>
        </w:rPr>
        <w:t xml:space="preserve">Selles </w:t>
      </w:r>
      <w:r w:rsidR="00162696" w:rsidRPr="00734C7E">
        <w:rPr>
          <w:iCs/>
          <w:sz w:val="28"/>
          <w:szCs w:val="28"/>
        </w:rPr>
        <w:t>dokumendis toodi välja 10 kategooriat, kus regionaalne ebavõrdsus avaldub.</w:t>
      </w:r>
    </w:p>
    <w:p w14:paraId="77C8BFA0" w14:textId="2C15FEC9" w:rsidR="005F228A" w:rsidRPr="00734C7E" w:rsidRDefault="00414D05" w:rsidP="00734C7E">
      <w:pPr>
        <w:spacing w:after="120" w:line="240" w:lineRule="auto"/>
        <w:jc w:val="both"/>
        <w:rPr>
          <w:iCs/>
          <w:sz w:val="28"/>
          <w:szCs w:val="28"/>
        </w:rPr>
      </w:pPr>
      <w:r w:rsidRPr="00734C7E">
        <w:rPr>
          <w:iCs/>
          <w:sz w:val="28"/>
          <w:szCs w:val="28"/>
        </w:rPr>
        <w:t>Kirjas on</w:t>
      </w:r>
      <w:r w:rsidR="00162696" w:rsidRPr="00734C7E">
        <w:rPr>
          <w:iCs/>
          <w:sz w:val="28"/>
          <w:szCs w:val="28"/>
        </w:rPr>
        <w:t xml:space="preserve">, et olulised erisused regioonide vahel on </w:t>
      </w:r>
      <w:r w:rsidR="000660D7" w:rsidRPr="00734C7E">
        <w:rPr>
          <w:iCs/>
          <w:sz w:val="28"/>
          <w:szCs w:val="28"/>
        </w:rPr>
        <w:t>inimeste töö- ja töö</w:t>
      </w:r>
      <w:r w:rsidR="00B86D21" w:rsidRPr="00734C7E">
        <w:rPr>
          <w:iCs/>
          <w:sz w:val="28"/>
          <w:szCs w:val="28"/>
        </w:rPr>
        <w:t>alastes eneseteostusvõimalustes</w:t>
      </w:r>
      <w:r w:rsidR="00162696" w:rsidRPr="00734C7E">
        <w:rPr>
          <w:iCs/>
          <w:sz w:val="28"/>
          <w:szCs w:val="28"/>
        </w:rPr>
        <w:t xml:space="preserve">, </w:t>
      </w:r>
      <w:r w:rsidR="000660D7" w:rsidRPr="00734C7E">
        <w:rPr>
          <w:iCs/>
          <w:sz w:val="28"/>
          <w:szCs w:val="28"/>
        </w:rPr>
        <w:t>sissetulekutes ja vaesuses</w:t>
      </w:r>
      <w:r w:rsidR="00162696" w:rsidRPr="00734C7E">
        <w:rPr>
          <w:iCs/>
          <w:sz w:val="28"/>
          <w:szCs w:val="28"/>
        </w:rPr>
        <w:t xml:space="preserve">, </w:t>
      </w:r>
      <w:r w:rsidR="000660D7" w:rsidRPr="00734C7E">
        <w:rPr>
          <w:iCs/>
          <w:sz w:val="28"/>
          <w:szCs w:val="28"/>
        </w:rPr>
        <w:t>tervises ja tervena elatud eluajas</w:t>
      </w:r>
      <w:r w:rsidR="00162696" w:rsidRPr="00734C7E">
        <w:rPr>
          <w:iCs/>
          <w:sz w:val="28"/>
          <w:szCs w:val="28"/>
        </w:rPr>
        <w:t xml:space="preserve">, </w:t>
      </w:r>
      <w:r w:rsidR="000660D7" w:rsidRPr="00734C7E">
        <w:rPr>
          <w:iCs/>
          <w:sz w:val="28"/>
          <w:szCs w:val="28"/>
        </w:rPr>
        <w:t>ühiskonnaelus osalemise ja vaba</w:t>
      </w:r>
      <w:r w:rsidR="0004150F" w:rsidRPr="00734C7E">
        <w:rPr>
          <w:iCs/>
          <w:sz w:val="28"/>
          <w:szCs w:val="28"/>
        </w:rPr>
        <w:t xml:space="preserve">-aja </w:t>
      </w:r>
      <w:r w:rsidR="000660D7" w:rsidRPr="00734C7E">
        <w:rPr>
          <w:iCs/>
          <w:sz w:val="28"/>
          <w:szCs w:val="28"/>
        </w:rPr>
        <w:t>eneseteostuse võimalustes</w:t>
      </w:r>
      <w:r w:rsidR="00162696" w:rsidRPr="00734C7E">
        <w:rPr>
          <w:iCs/>
          <w:sz w:val="28"/>
          <w:szCs w:val="28"/>
        </w:rPr>
        <w:t xml:space="preserve">, </w:t>
      </w:r>
      <w:r w:rsidR="000660D7" w:rsidRPr="00734C7E">
        <w:rPr>
          <w:iCs/>
          <w:sz w:val="28"/>
          <w:szCs w:val="28"/>
        </w:rPr>
        <w:t>inimeste igapäeva elutingimustes</w:t>
      </w:r>
      <w:r w:rsidR="00162696" w:rsidRPr="00734C7E">
        <w:rPr>
          <w:iCs/>
          <w:sz w:val="28"/>
          <w:szCs w:val="28"/>
        </w:rPr>
        <w:t xml:space="preserve">, </w:t>
      </w:r>
      <w:r w:rsidR="000660D7" w:rsidRPr="00734C7E">
        <w:rPr>
          <w:iCs/>
          <w:sz w:val="28"/>
          <w:szCs w:val="28"/>
        </w:rPr>
        <w:t>liikumisvõimalustes ja ühendustes</w:t>
      </w:r>
      <w:r w:rsidR="00162696" w:rsidRPr="00734C7E">
        <w:rPr>
          <w:iCs/>
          <w:sz w:val="28"/>
          <w:szCs w:val="28"/>
        </w:rPr>
        <w:t xml:space="preserve">, </w:t>
      </w:r>
      <w:r w:rsidR="000660D7" w:rsidRPr="00734C7E">
        <w:rPr>
          <w:iCs/>
          <w:sz w:val="28"/>
          <w:szCs w:val="28"/>
        </w:rPr>
        <w:t>ettevõtete konkurentsivõimes ja ligipääsus kapitalile</w:t>
      </w:r>
      <w:r w:rsidR="00162696" w:rsidRPr="00734C7E">
        <w:rPr>
          <w:iCs/>
          <w:sz w:val="28"/>
          <w:szCs w:val="28"/>
        </w:rPr>
        <w:t xml:space="preserve">, </w:t>
      </w:r>
      <w:r w:rsidR="000660D7" w:rsidRPr="00734C7E">
        <w:rPr>
          <w:iCs/>
          <w:sz w:val="28"/>
          <w:szCs w:val="28"/>
        </w:rPr>
        <w:t>ettevõtetele vajalike oskustega tööjõu kättesaadavuses</w:t>
      </w:r>
      <w:r w:rsidR="00162696" w:rsidRPr="00734C7E">
        <w:rPr>
          <w:iCs/>
          <w:sz w:val="28"/>
          <w:szCs w:val="28"/>
        </w:rPr>
        <w:t xml:space="preserve">, omavalitsuste </w:t>
      </w:r>
      <w:r w:rsidR="000660D7" w:rsidRPr="00734C7E">
        <w:rPr>
          <w:iCs/>
          <w:sz w:val="28"/>
          <w:szCs w:val="28"/>
        </w:rPr>
        <w:t>finants-, haldus- ja piirkondliku arengu kujundami</w:t>
      </w:r>
      <w:r w:rsidR="001C4CE1" w:rsidRPr="00734C7E">
        <w:rPr>
          <w:iCs/>
          <w:sz w:val="28"/>
          <w:szCs w:val="28"/>
        </w:rPr>
        <w:t xml:space="preserve">se </w:t>
      </w:r>
      <w:r w:rsidR="000660D7" w:rsidRPr="00734C7E">
        <w:rPr>
          <w:iCs/>
          <w:sz w:val="28"/>
          <w:szCs w:val="28"/>
        </w:rPr>
        <w:t xml:space="preserve">võimekuses </w:t>
      </w:r>
      <w:r w:rsidR="00162696" w:rsidRPr="00734C7E">
        <w:rPr>
          <w:iCs/>
          <w:sz w:val="28"/>
          <w:szCs w:val="28"/>
        </w:rPr>
        <w:t>ja p</w:t>
      </w:r>
      <w:r w:rsidR="001C4CE1" w:rsidRPr="00734C7E">
        <w:rPr>
          <w:iCs/>
          <w:sz w:val="28"/>
          <w:szCs w:val="28"/>
        </w:rPr>
        <w:t>iirkondade e</w:t>
      </w:r>
      <w:r w:rsidR="001C1AFC" w:rsidRPr="00734C7E">
        <w:rPr>
          <w:iCs/>
          <w:sz w:val="28"/>
          <w:szCs w:val="28"/>
        </w:rPr>
        <w:t>rinevatest</w:t>
      </w:r>
      <w:r w:rsidR="001C4CE1" w:rsidRPr="00734C7E">
        <w:rPr>
          <w:iCs/>
          <w:sz w:val="28"/>
          <w:szCs w:val="28"/>
        </w:rPr>
        <w:t xml:space="preserve"> demograafilistes</w:t>
      </w:r>
      <w:r w:rsidR="001C1AFC" w:rsidRPr="00734C7E">
        <w:rPr>
          <w:iCs/>
          <w:sz w:val="28"/>
          <w:szCs w:val="28"/>
        </w:rPr>
        <w:t>t</w:t>
      </w:r>
      <w:r w:rsidR="001C4CE1" w:rsidRPr="00734C7E">
        <w:rPr>
          <w:iCs/>
          <w:sz w:val="28"/>
          <w:szCs w:val="28"/>
        </w:rPr>
        <w:t xml:space="preserve"> muutustest tingitud</w:t>
      </w:r>
      <w:r w:rsidR="000660D7" w:rsidRPr="00734C7E">
        <w:rPr>
          <w:iCs/>
          <w:sz w:val="28"/>
          <w:szCs w:val="28"/>
        </w:rPr>
        <w:t xml:space="preserve"> arenguväljavaadetes</w:t>
      </w:r>
      <w:r w:rsidR="00162696" w:rsidRPr="00734C7E">
        <w:rPr>
          <w:iCs/>
          <w:sz w:val="28"/>
          <w:szCs w:val="28"/>
        </w:rPr>
        <w:t>.</w:t>
      </w:r>
    </w:p>
    <w:p w14:paraId="1173ABB1" w14:textId="452BBA09" w:rsidR="00414D05" w:rsidRPr="00734C7E" w:rsidRDefault="00414D05" w:rsidP="00734C7E">
      <w:pPr>
        <w:spacing w:after="120" w:line="240" w:lineRule="auto"/>
        <w:jc w:val="both"/>
        <w:rPr>
          <w:iCs/>
          <w:sz w:val="28"/>
          <w:szCs w:val="28"/>
        </w:rPr>
      </w:pPr>
      <w:r w:rsidRPr="00734C7E">
        <w:rPr>
          <w:iCs/>
          <w:sz w:val="28"/>
          <w:szCs w:val="28"/>
        </w:rPr>
        <w:t>See on muljetavaldav mis puudutab inimelu kõiki peamisi tahke.</w:t>
      </w:r>
    </w:p>
    <w:p w14:paraId="33DB5623" w14:textId="3095F839" w:rsidR="00162696" w:rsidRPr="00734C7E" w:rsidRDefault="00414D05" w:rsidP="00734C7E">
      <w:pPr>
        <w:spacing w:after="120" w:line="240" w:lineRule="auto"/>
        <w:jc w:val="both"/>
        <w:rPr>
          <w:iCs/>
          <w:sz w:val="28"/>
          <w:szCs w:val="28"/>
        </w:rPr>
      </w:pPr>
      <w:r w:rsidRPr="00734C7E">
        <w:rPr>
          <w:iCs/>
          <w:sz w:val="28"/>
          <w:szCs w:val="28"/>
        </w:rPr>
        <w:t>Aga k</w:t>
      </w:r>
      <w:r w:rsidR="00162696" w:rsidRPr="00734C7E">
        <w:rPr>
          <w:iCs/>
          <w:sz w:val="28"/>
          <w:szCs w:val="28"/>
        </w:rPr>
        <w:t xml:space="preserve">ui neist omakorda vaadata, </w:t>
      </w:r>
      <w:r w:rsidRPr="00734C7E">
        <w:rPr>
          <w:iCs/>
          <w:sz w:val="28"/>
          <w:szCs w:val="28"/>
        </w:rPr>
        <w:t xml:space="preserve">kus </w:t>
      </w:r>
      <w:r w:rsidR="00162696" w:rsidRPr="00734C7E">
        <w:rPr>
          <w:iCs/>
          <w:sz w:val="28"/>
          <w:szCs w:val="28"/>
        </w:rPr>
        <w:t xml:space="preserve"> on probleemid kõige suuremad, siis eelkõige on need </w:t>
      </w:r>
      <w:r w:rsidRPr="00734C7E">
        <w:rPr>
          <w:iCs/>
          <w:sz w:val="28"/>
          <w:szCs w:val="28"/>
        </w:rPr>
        <w:t xml:space="preserve">teemad </w:t>
      </w:r>
      <w:r w:rsidR="00162696" w:rsidRPr="00734C7E">
        <w:rPr>
          <w:iCs/>
          <w:sz w:val="28"/>
          <w:szCs w:val="28"/>
        </w:rPr>
        <w:t>demograafia, ettevõtete konkurentsivõime, sissetulekute ja vaesusega seotud.</w:t>
      </w:r>
    </w:p>
    <w:p w14:paraId="4682CA09" w14:textId="4FA65C28" w:rsidR="00162696" w:rsidRPr="00734C7E" w:rsidRDefault="00162696" w:rsidP="00734C7E">
      <w:pPr>
        <w:spacing w:after="120" w:line="240" w:lineRule="auto"/>
        <w:jc w:val="both"/>
        <w:rPr>
          <w:iCs/>
          <w:sz w:val="28"/>
          <w:szCs w:val="28"/>
        </w:rPr>
      </w:pPr>
      <w:r w:rsidRPr="00734C7E">
        <w:rPr>
          <w:iCs/>
          <w:sz w:val="28"/>
          <w:szCs w:val="28"/>
        </w:rPr>
        <w:lastRenderedPageBreak/>
        <w:t>Piirkondlikke rahvastikumuutus</w:t>
      </w:r>
      <w:r w:rsidR="00414D05" w:rsidRPr="00734C7E">
        <w:rPr>
          <w:iCs/>
          <w:sz w:val="28"/>
          <w:szCs w:val="28"/>
        </w:rPr>
        <w:t>i</w:t>
      </w:r>
      <w:r w:rsidRPr="00734C7E">
        <w:rPr>
          <w:iCs/>
          <w:sz w:val="28"/>
          <w:szCs w:val="28"/>
        </w:rPr>
        <w:t xml:space="preserve"> ilmestab jätkuvalt rahvastiku koondumine pealinnaregiooni ja vähemal määral ka Tartu- ja Pärnu linnapiirkondadesse. Ülejäänud, eriti keskustest kaugemale jäävate hõreasustusega, piirkondadel on väljakutsed seoses kahaneva ja kiiresti vananeva rahvastikuga. Maakonniti kasvab rahvastik püsivalt endiselt vaid Harjumaal</w:t>
      </w:r>
      <w:r w:rsidR="00414D05" w:rsidRPr="00734C7E">
        <w:rPr>
          <w:iCs/>
          <w:sz w:val="28"/>
          <w:szCs w:val="28"/>
        </w:rPr>
        <w:t>. V</w:t>
      </w:r>
      <w:r w:rsidRPr="00734C7E">
        <w:rPr>
          <w:iCs/>
          <w:sz w:val="28"/>
          <w:szCs w:val="28"/>
        </w:rPr>
        <w:t xml:space="preserve">iimase 4-aastaga </w:t>
      </w:r>
      <w:r w:rsidR="00414D05" w:rsidRPr="00734C7E">
        <w:rPr>
          <w:iCs/>
          <w:sz w:val="28"/>
          <w:szCs w:val="28"/>
        </w:rPr>
        <w:t xml:space="preserve">kasvas Harjumaa rahvastik </w:t>
      </w:r>
      <w:r w:rsidRPr="00734C7E">
        <w:rPr>
          <w:iCs/>
          <w:sz w:val="28"/>
          <w:szCs w:val="28"/>
        </w:rPr>
        <w:t xml:space="preserve">üle 4%. Kui </w:t>
      </w:r>
      <w:r w:rsidR="00414D05" w:rsidRPr="00734C7E">
        <w:rPr>
          <w:iCs/>
          <w:sz w:val="28"/>
          <w:szCs w:val="28"/>
        </w:rPr>
        <w:t xml:space="preserve">näiteks </w:t>
      </w:r>
      <w:r w:rsidRPr="00734C7E">
        <w:rPr>
          <w:iCs/>
          <w:sz w:val="28"/>
          <w:szCs w:val="28"/>
        </w:rPr>
        <w:t xml:space="preserve">„Eesti 2035“ strateegia seab sihiks, et väljaspool Harju ja Tartumaad elavate inimeste osakaal </w:t>
      </w:r>
      <w:r w:rsidR="00734C7E">
        <w:rPr>
          <w:iCs/>
          <w:sz w:val="28"/>
          <w:szCs w:val="28"/>
        </w:rPr>
        <w:t>kasvaks</w:t>
      </w:r>
      <w:r w:rsidRPr="00734C7E">
        <w:rPr>
          <w:iCs/>
          <w:sz w:val="28"/>
          <w:szCs w:val="28"/>
        </w:rPr>
        <w:t>, on</w:t>
      </w:r>
      <w:r w:rsidR="00734C7E">
        <w:rPr>
          <w:iCs/>
          <w:sz w:val="28"/>
          <w:szCs w:val="28"/>
        </w:rPr>
        <w:t xml:space="preserve"> paraku Harju ja Tartu </w:t>
      </w:r>
      <w:r w:rsidRPr="00734C7E">
        <w:rPr>
          <w:iCs/>
          <w:sz w:val="28"/>
          <w:szCs w:val="28"/>
        </w:rPr>
        <w:t>maakonna rahvaarv viimase 5 aasta jooksul suurenenud 0,3-0,6% aastas, ulatudes praeguseks 58%-</w:t>
      </w:r>
      <w:proofErr w:type="spellStart"/>
      <w:r w:rsidRPr="00734C7E">
        <w:rPr>
          <w:iCs/>
          <w:sz w:val="28"/>
          <w:szCs w:val="28"/>
        </w:rPr>
        <w:t>ni</w:t>
      </w:r>
      <w:proofErr w:type="spellEnd"/>
      <w:r w:rsidRPr="00734C7E">
        <w:rPr>
          <w:iCs/>
          <w:sz w:val="28"/>
          <w:szCs w:val="28"/>
        </w:rPr>
        <w:t>. Siiski on viimase aasta positiivse muutusena kasvanud rahvaarv pisut ka Rapla-, Lääne-Viru ja isegi Ida-Virumaal, eeskätt suurenenud sisse- ja tagasirände arvelt.</w:t>
      </w:r>
    </w:p>
    <w:p w14:paraId="0E1980AF" w14:textId="77777777" w:rsidR="00162696" w:rsidRPr="00734C7E" w:rsidRDefault="00162696" w:rsidP="00734C7E">
      <w:pPr>
        <w:spacing w:line="240" w:lineRule="auto"/>
        <w:jc w:val="both"/>
        <w:rPr>
          <w:iCs/>
          <w:sz w:val="28"/>
          <w:szCs w:val="28"/>
        </w:rPr>
      </w:pPr>
      <w:r w:rsidRPr="00734C7E">
        <w:rPr>
          <w:iCs/>
          <w:sz w:val="28"/>
          <w:szCs w:val="28"/>
        </w:rPr>
        <w:t xml:space="preserve">Paraku on just piirkonniti erinevad demograafilised muutused üheks peamiseks piirkondade pikaajalise arengu eelduseid kujundavaks teguriks. </w:t>
      </w:r>
    </w:p>
    <w:p w14:paraId="0E23E171" w14:textId="2B5464D2" w:rsidR="0050266D" w:rsidRPr="00734C7E" w:rsidRDefault="00162696" w:rsidP="00734C7E">
      <w:pPr>
        <w:spacing w:after="120" w:line="240" w:lineRule="auto"/>
        <w:jc w:val="both"/>
        <w:rPr>
          <w:iCs/>
          <w:sz w:val="28"/>
          <w:szCs w:val="28"/>
        </w:rPr>
      </w:pPr>
      <w:r w:rsidRPr="00734C7E">
        <w:rPr>
          <w:iCs/>
          <w:sz w:val="28"/>
          <w:szCs w:val="28"/>
        </w:rPr>
        <w:t>Kui me vaatame ettevõtlussektorit, siis s</w:t>
      </w:r>
      <w:r w:rsidR="00414D05" w:rsidRPr="00734C7E">
        <w:rPr>
          <w:iCs/>
          <w:sz w:val="28"/>
          <w:szCs w:val="28"/>
        </w:rPr>
        <w:t>u</w:t>
      </w:r>
      <w:r w:rsidRPr="00734C7E">
        <w:rPr>
          <w:iCs/>
          <w:sz w:val="28"/>
          <w:szCs w:val="28"/>
        </w:rPr>
        <w:t>ured on p</w:t>
      </w:r>
      <w:r w:rsidR="0050266D" w:rsidRPr="00734C7E">
        <w:rPr>
          <w:iCs/>
          <w:sz w:val="28"/>
          <w:szCs w:val="28"/>
        </w:rPr>
        <w:t>iirkondlikud erinevused</w:t>
      </w:r>
      <w:r w:rsidR="00414D05" w:rsidRPr="00734C7E">
        <w:rPr>
          <w:iCs/>
          <w:sz w:val="28"/>
          <w:szCs w:val="28"/>
        </w:rPr>
        <w:t xml:space="preserve"> just</w:t>
      </w:r>
      <w:r w:rsidR="0050266D" w:rsidRPr="00734C7E">
        <w:rPr>
          <w:iCs/>
          <w:sz w:val="28"/>
          <w:szCs w:val="28"/>
        </w:rPr>
        <w:t xml:space="preserve"> ettevõtete konkurentsivõimes </w:t>
      </w:r>
      <w:r w:rsidR="005A550C" w:rsidRPr="00734C7E">
        <w:rPr>
          <w:iCs/>
          <w:sz w:val="28"/>
          <w:szCs w:val="28"/>
        </w:rPr>
        <w:t>ning</w:t>
      </w:r>
      <w:r w:rsidR="0050266D" w:rsidRPr="00734C7E">
        <w:rPr>
          <w:iCs/>
          <w:sz w:val="28"/>
          <w:szCs w:val="28"/>
        </w:rPr>
        <w:t xml:space="preserve"> ligipääsus kapitalile</w:t>
      </w:r>
      <w:r w:rsidR="005A550C" w:rsidRPr="00734C7E">
        <w:rPr>
          <w:iCs/>
          <w:sz w:val="28"/>
          <w:szCs w:val="28"/>
        </w:rPr>
        <w:t xml:space="preserve"> ja tööjõule</w:t>
      </w:r>
      <w:r w:rsidR="0050266D" w:rsidRPr="00734C7E">
        <w:rPr>
          <w:iCs/>
          <w:sz w:val="28"/>
          <w:szCs w:val="28"/>
        </w:rPr>
        <w:t>. Suured piirkondlikud erinevused ettevõtete lisandväärtuses</w:t>
      </w:r>
      <w:r w:rsidR="00610D64" w:rsidRPr="00734C7E">
        <w:rPr>
          <w:iCs/>
          <w:sz w:val="28"/>
          <w:szCs w:val="28"/>
        </w:rPr>
        <w:t xml:space="preserve"> ja tootlikkuses</w:t>
      </w:r>
      <w:r w:rsidR="0050266D" w:rsidRPr="00734C7E">
        <w:rPr>
          <w:iCs/>
          <w:sz w:val="28"/>
          <w:szCs w:val="28"/>
        </w:rPr>
        <w:t xml:space="preserve">, ekspordis, ettevõtlusaktiivsuses ja vajalike oskustega tööjõu kättesaadavuses pärsivad </w:t>
      </w:r>
      <w:r w:rsidR="00374A83" w:rsidRPr="00734C7E">
        <w:rPr>
          <w:iCs/>
          <w:sz w:val="28"/>
          <w:szCs w:val="28"/>
        </w:rPr>
        <w:t>eelkõige</w:t>
      </w:r>
      <w:r w:rsidR="0050266D" w:rsidRPr="00734C7E">
        <w:rPr>
          <w:iCs/>
          <w:sz w:val="28"/>
          <w:szCs w:val="28"/>
        </w:rPr>
        <w:t xml:space="preserve"> </w:t>
      </w:r>
      <w:r w:rsidR="00374A83" w:rsidRPr="00734C7E">
        <w:rPr>
          <w:iCs/>
          <w:sz w:val="28"/>
          <w:szCs w:val="28"/>
        </w:rPr>
        <w:t xml:space="preserve">suurematest linnapiirkondadest eemale jäävate </w:t>
      </w:r>
      <w:r w:rsidR="0050266D" w:rsidRPr="00734C7E">
        <w:rPr>
          <w:iCs/>
          <w:sz w:val="28"/>
          <w:szCs w:val="28"/>
        </w:rPr>
        <w:t xml:space="preserve">piirkondade majanduse konkurentsivõimet ja arengut. </w:t>
      </w:r>
      <w:r w:rsidRPr="00734C7E">
        <w:rPr>
          <w:iCs/>
          <w:sz w:val="28"/>
          <w:szCs w:val="28"/>
        </w:rPr>
        <w:t xml:space="preserve">On fakt, et </w:t>
      </w:r>
      <w:r w:rsidR="005A550C" w:rsidRPr="00734C7E">
        <w:rPr>
          <w:iCs/>
          <w:sz w:val="28"/>
          <w:szCs w:val="28"/>
        </w:rPr>
        <w:t xml:space="preserve">Eestis jätkub aktiivsema majandustegevuse ja atraktiivsemate töökohtade koondumine suurematesse linnaregioonidesse. </w:t>
      </w:r>
      <w:r w:rsidR="0050266D" w:rsidRPr="00734C7E">
        <w:rPr>
          <w:iCs/>
          <w:sz w:val="28"/>
          <w:szCs w:val="28"/>
        </w:rPr>
        <w:t>N</w:t>
      </w:r>
      <w:r w:rsidR="005A550C" w:rsidRPr="00734C7E">
        <w:rPr>
          <w:iCs/>
          <w:sz w:val="28"/>
          <w:szCs w:val="28"/>
        </w:rPr>
        <w:t>ii on</w:t>
      </w:r>
      <w:r w:rsidR="0050266D" w:rsidRPr="00734C7E">
        <w:rPr>
          <w:iCs/>
          <w:sz w:val="28"/>
          <w:szCs w:val="28"/>
        </w:rPr>
        <w:t xml:space="preserve"> tootlikkus </w:t>
      </w:r>
      <w:r w:rsidR="00414D05" w:rsidRPr="00734C7E">
        <w:rPr>
          <w:iCs/>
          <w:sz w:val="28"/>
          <w:szCs w:val="28"/>
        </w:rPr>
        <w:t xml:space="preserve">ehk </w:t>
      </w:r>
      <w:r w:rsidR="0050266D" w:rsidRPr="00734C7E">
        <w:rPr>
          <w:iCs/>
          <w:sz w:val="28"/>
          <w:szCs w:val="28"/>
        </w:rPr>
        <w:t>SKP hõivatu kohta selgelt kõrgem suuremate linnapiirkondadega maakondades, ulatudes enam-vähem samale tasemele ELi keskmisega</w:t>
      </w:r>
      <w:r w:rsidR="00610D64" w:rsidRPr="00734C7E">
        <w:rPr>
          <w:iCs/>
          <w:sz w:val="28"/>
          <w:szCs w:val="28"/>
        </w:rPr>
        <w:t>.</w:t>
      </w:r>
      <w:r w:rsidR="0050266D" w:rsidRPr="00734C7E">
        <w:rPr>
          <w:iCs/>
          <w:sz w:val="28"/>
          <w:szCs w:val="28"/>
        </w:rPr>
        <w:t xml:space="preserve"> </w:t>
      </w:r>
      <w:r w:rsidR="00610D64" w:rsidRPr="00734C7E">
        <w:rPr>
          <w:iCs/>
          <w:sz w:val="28"/>
          <w:szCs w:val="28"/>
        </w:rPr>
        <w:t>T</w:t>
      </w:r>
      <w:r w:rsidR="0050266D" w:rsidRPr="00734C7E">
        <w:rPr>
          <w:iCs/>
          <w:sz w:val="28"/>
          <w:szCs w:val="28"/>
        </w:rPr>
        <w:t xml:space="preserve">ervelt 7 maakonnas jääb see </w:t>
      </w:r>
      <w:r w:rsidR="00610D64" w:rsidRPr="00734C7E">
        <w:rPr>
          <w:iCs/>
          <w:sz w:val="28"/>
          <w:szCs w:val="28"/>
        </w:rPr>
        <w:t>aga</w:t>
      </w:r>
      <w:r w:rsidR="0050266D" w:rsidRPr="00734C7E">
        <w:rPr>
          <w:iCs/>
          <w:sz w:val="28"/>
          <w:szCs w:val="28"/>
        </w:rPr>
        <w:t xml:space="preserve"> allapoole 40% ELi keskmist. </w:t>
      </w:r>
      <w:r w:rsidR="00610D64" w:rsidRPr="00734C7E">
        <w:rPr>
          <w:iCs/>
          <w:sz w:val="28"/>
          <w:szCs w:val="28"/>
        </w:rPr>
        <w:t>K</w:t>
      </w:r>
      <w:r w:rsidR="0050266D" w:rsidRPr="00734C7E">
        <w:rPr>
          <w:iCs/>
          <w:sz w:val="28"/>
          <w:szCs w:val="28"/>
        </w:rPr>
        <w:t xml:space="preserve">ui kaupade ja teenuste eksport </w:t>
      </w:r>
      <w:r w:rsidR="00610D64" w:rsidRPr="00734C7E">
        <w:rPr>
          <w:iCs/>
          <w:sz w:val="28"/>
          <w:szCs w:val="28"/>
        </w:rPr>
        <w:t xml:space="preserve">ettevõtte kohta </w:t>
      </w:r>
      <w:r w:rsidR="0050266D" w:rsidRPr="00734C7E">
        <w:rPr>
          <w:iCs/>
          <w:sz w:val="28"/>
          <w:szCs w:val="28"/>
        </w:rPr>
        <w:t xml:space="preserve">ulatub 2021.a seisuga Ida-Virumaal ja Harjumaal umbes 300 tuhande euro </w:t>
      </w:r>
      <w:r w:rsidR="00610D64" w:rsidRPr="00734C7E">
        <w:rPr>
          <w:iCs/>
          <w:sz w:val="28"/>
          <w:szCs w:val="28"/>
        </w:rPr>
        <w:t>suurusjärku</w:t>
      </w:r>
      <w:r w:rsidR="0050266D" w:rsidRPr="00734C7E">
        <w:rPr>
          <w:iCs/>
          <w:sz w:val="28"/>
          <w:szCs w:val="28"/>
        </w:rPr>
        <w:t xml:space="preserve">, siis Läänemaal </w:t>
      </w:r>
      <w:r w:rsidR="00610D64" w:rsidRPr="00734C7E">
        <w:rPr>
          <w:iCs/>
          <w:sz w:val="28"/>
          <w:szCs w:val="28"/>
        </w:rPr>
        <w:t xml:space="preserve">on see </w:t>
      </w:r>
      <w:r w:rsidR="0050266D" w:rsidRPr="00734C7E">
        <w:rPr>
          <w:iCs/>
          <w:sz w:val="28"/>
          <w:szCs w:val="28"/>
        </w:rPr>
        <w:t>vaid alla 90 tuhande euro ettevõtte kohta.</w:t>
      </w:r>
      <w:r w:rsidR="005A550C" w:rsidRPr="00734C7E">
        <w:rPr>
          <w:iCs/>
          <w:sz w:val="28"/>
          <w:szCs w:val="28"/>
        </w:rPr>
        <w:t xml:space="preserve"> Tööjõus osalemise määra maakondlikud erinevused on viimasel aastal pisut vähenenud, </w:t>
      </w:r>
      <w:r w:rsidR="00610D64" w:rsidRPr="00734C7E">
        <w:rPr>
          <w:iCs/>
          <w:sz w:val="28"/>
          <w:szCs w:val="28"/>
        </w:rPr>
        <w:t>ent</w:t>
      </w:r>
      <w:r w:rsidR="005A550C" w:rsidRPr="00734C7E">
        <w:rPr>
          <w:iCs/>
          <w:sz w:val="28"/>
          <w:szCs w:val="28"/>
        </w:rPr>
        <w:t xml:space="preserve"> ulatuvad ikkagi 16,4 %-punktini, kuigi nt „Eesti 2035“ sihiks on hoida </w:t>
      </w:r>
      <w:r w:rsidR="001B5E90" w:rsidRPr="00734C7E">
        <w:rPr>
          <w:iCs/>
          <w:sz w:val="28"/>
          <w:szCs w:val="28"/>
        </w:rPr>
        <w:t>see</w:t>
      </w:r>
      <w:r w:rsidR="005A550C" w:rsidRPr="00734C7E">
        <w:rPr>
          <w:iCs/>
          <w:sz w:val="28"/>
          <w:szCs w:val="28"/>
        </w:rPr>
        <w:t xml:space="preserve"> allpool 10 </w:t>
      </w:r>
      <w:r w:rsidR="001B5E90" w:rsidRPr="00734C7E">
        <w:rPr>
          <w:iCs/>
          <w:sz w:val="28"/>
          <w:szCs w:val="28"/>
        </w:rPr>
        <w:t>%-</w:t>
      </w:r>
      <w:r w:rsidR="005A550C" w:rsidRPr="00734C7E">
        <w:rPr>
          <w:iCs/>
          <w:sz w:val="28"/>
          <w:szCs w:val="28"/>
        </w:rPr>
        <w:t xml:space="preserve">punkti. </w:t>
      </w:r>
    </w:p>
    <w:p w14:paraId="52BD9E41" w14:textId="72C679D1" w:rsidR="005F228A" w:rsidRPr="00734C7E" w:rsidRDefault="00162696" w:rsidP="00734C7E">
      <w:pPr>
        <w:spacing w:after="120" w:line="240" w:lineRule="auto"/>
        <w:jc w:val="both"/>
        <w:rPr>
          <w:iCs/>
          <w:sz w:val="28"/>
          <w:szCs w:val="28"/>
        </w:rPr>
      </w:pPr>
      <w:r w:rsidRPr="00734C7E">
        <w:rPr>
          <w:iCs/>
          <w:sz w:val="28"/>
          <w:szCs w:val="28"/>
        </w:rPr>
        <w:t xml:space="preserve">Ja siit jõuame me automaatselt kolmanda teemani, milleks on sissetulekud ja vaesus. </w:t>
      </w:r>
      <w:r w:rsidR="0050266D" w:rsidRPr="00734C7E">
        <w:rPr>
          <w:iCs/>
          <w:sz w:val="28"/>
          <w:szCs w:val="28"/>
        </w:rPr>
        <w:t xml:space="preserve">Piirkondade vaheline ebavõrdsus inimeste sissetulekutes ja vaesuses </w:t>
      </w:r>
      <w:r w:rsidRPr="00734C7E">
        <w:rPr>
          <w:iCs/>
          <w:sz w:val="28"/>
          <w:szCs w:val="28"/>
        </w:rPr>
        <w:t>on see, millest sõltub</w:t>
      </w:r>
      <w:r w:rsidR="0050266D" w:rsidRPr="00734C7E">
        <w:rPr>
          <w:iCs/>
          <w:sz w:val="28"/>
          <w:szCs w:val="28"/>
        </w:rPr>
        <w:t>, milliseks kujuneb inimeste igapäevane elukvaliteet ühes või teises piirkonnas</w:t>
      </w:r>
      <w:r w:rsidR="00610D64" w:rsidRPr="00734C7E">
        <w:rPr>
          <w:iCs/>
          <w:sz w:val="28"/>
          <w:szCs w:val="28"/>
        </w:rPr>
        <w:t>.</w:t>
      </w:r>
      <w:r w:rsidR="009B7C15" w:rsidRPr="00734C7E">
        <w:rPr>
          <w:iCs/>
          <w:sz w:val="28"/>
          <w:szCs w:val="28"/>
        </w:rPr>
        <w:t xml:space="preserve"> </w:t>
      </w:r>
      <w:r w:rsidR="00610D64" w:rsidRPr="00734C7E">
        <w:rPr>
          <w:iCs/>
          <w:sz w:val="28"/>
          <w:szCs w:val="28"/>
        </w:rPr>
        <w:t>Sissetulekud</w:t>
      </w:r>
      <w:r w:rsidR="0044555E" w:rsidRPr="00734C7E">
        <w:rPr>
          <w:iCs/>
          <w:sz w:val="28"/>
          <w:szCs w:val="28"/>
        </w:rPr>
        <w:t xml:space="preserve"> on</w:t>
      </w:r>
      <w:r w:rsidR="00374A83" w:rsidRPr="00734C7E">
        <w:rPr>
          <w:iCs/>
          <w:sz w:val="28"/>
          <w:szCs w:val="28"/>
        </w:rPr>
        <w:t xml:space="preserve"> omakorda</w:t>
      </w:r>
      <w:r w:rsidR="009E7E29" w:rsidRPr="00734C7E">
        <w:rPr>
          <w:iCs/>
          <w:sz w:val="28"/>
          <w:szCs w:val="28"/>
        </w:rPr>
        <w:t xml:space="preserve"> </w:t>
      </w:r>
      <w:r w:rsidR="0044555E" w:rsidRPr="00734C7E">
        <w:rPr>
          <w:iCs/>
          <w:sz w:val="28"/>
          <w:szCs w:val="28"/>
        </w:rPr>
        <w:t xml:space="preserve">suuresti </w:t>
      </w:r>
      <w:r w:rsidR="00374A83" w:rsidRPr="00734C7E">
        <w:rPr>
          <w:iCs/>
          <w:sz w:val="28"/>
          <w:szCs w:val="28"/>
        </w:rPr>
        <w:t>seotud</w:t>
      </w:r>
      <w:r w:rsidR="009E7E29" w:rsidRPr="00734C7E">
        <w:rPr>
          <w:iCs/>
          <w:sz w:val="28"/>
          <w:szCs w:val="28"/>
        </w:rPr>
        <w:t xml:space="preserve"> tööpuuduse </w:t>
      </w:r>
      <w:r w:rsidR="009B7C15" w:rsidRPr="00734C7E">
        <w:rPr>
          <w:iCs/>
          <w:sz w:val="28"/>
          <w:szCs w:val="28"/>
        </w:rPr>
        <w:t xml:space="preserve">taseme </w:t>
      </w:r>
      <w:r w:rsidR="009E7E29" w:rsidRPr="00734C7E">
        <w:rPr>
          <w:iCs/>
          <w:sz w:val="28"/>
          <w:szCs w:val="28"/>
        </w:rPr>
        <w:t xml:space="preserve">ja kõrgemat lisandväärtust loovate töökohtade </w:t>
      </w:r>
      <w:r w:rsidR="00610D64" w:rsidRPr="00734C7E">
        <w:rPr>
          <w:iCs/>
          <w:sz w:val="28"/>
          <w:szCs w:val="28"/>
        </w:rPr>
        <w:t>pakku</w:t>
      </w:r>
      <w:r w:rsidR="009B7C15" w:rsidRPr="00734C7E">
        <w:rPr>
          <w:iCs/>
          <w:sz w:val="28"/>
          <w:szCs w:val="28"/>
        </w:rPr>
        <w:t>misega</w:t>
      </w:r>
      <w:r w:rsidR="009E7E29" w:rsidRPr="00734C7E">
        <w:rPr>
          <w:iCs/>
          <w:sz w:val="28"/>
          <w:szCs w:val="28"/>
        </w:rPr>
        <w:t xml:space="preserve"> piirkonnas. </w:t>
      </w:r>
    </w:p>
    <w:p w14:paraId="53CF72A5" w14:textId="586E0C77" w:rsidR="00414D05" w:rsidRPr="00734C7E" w:rsidRDefault="0050266D" w:rsidP="00734C7E">
      <w:pPr>
        <w:spacing w:line="240" w:lineRule="auto"/>
        <w:jc w:val="both"/>
        <w:rPr>
          <w:iCs/>
          <w:sz w:val="28"/>
          <w:szCs w:val="28"/>
        </w:rPr>
      </w:pPr>
      <w:r w:rsidRPr="00734C7E">
        <w:rPr>
          <w:iCs/>
          <w:sz w:val="28"/>
          <w:szCs w:val="28"/>
        </w:rPr>
        <w:t>2021.a seisuga elab suhtelises vaesuses Ida-Virumaal 38% inimestest, ehk üle 2 korra enam</w:t>
      </w:r>
      <w:r w:rsidR="00610D64" w:rsidRPr="00734C7E">
        <w:rPr>
          <w:iCs/>
          <w:sz w:val="28"/>
          <w:szCs w:val="28"/>
        </w:rPr>
        <w:t xml:space="preserve"> kui</w:t>
      </w:r>
      <w:r w:rsidRPr="00734C7E">
        <w:rPr>
          <w:iCs/>
          <w:sz w:val="28"/>
          <w:szCs w:val="28"/>
        </w:rPr>
        <w:t xml:space="preserve"> Harjumaal (18%)</w:t>
      </w:r>
      <w:r w:rsidR="00610D64" w:rsidRPr="00734C7E">
        <w:rPr>
          <w:iCs/>
          <w:sz w:val="28"/>
          <w:szCs w:val="28"/>
        </w:rPr>
        <w:t>.</w:t>
      </w:r>
      <w:r w:rsidRPr="00734C7E">
        <w:rPr>
          <w:iCs/>
          <w:sz w:val="28"/>
          <w:szCs w:val="28"/>
        </w:rPr>
        <w:t xml:space="preserve"> </w:t>
      </w:r>
      <w:r w:rsidR="00610D64" w:rsidRPr="00734C7E">
        <w:rPr>
          <w:iCs/>
          <w:sz w:val="28"/>
          <w:szCs w:val="28"/>
        </w:rPr>
        <w:t>P</w:t>
      </w:r>
      <w:r w:rsidRPr="00734C7E">
        <w:rPr>
          <w:iCs/>
          <w:sz w:val="28"/>
          <w:szCs w:val="28"/>
        </w:rPr>
        <w:t xml:space="preserve">araku on erinevused maakondade vahel viimasel aastal vähenemise asemel kasvanud. Maa- ja linnapiirkondade vahel on erinevused siiski pisut vähenenud, kuid suhteline vaesus </w:t>
      </w:r>
      <w:r w:rsidR="00610D64" w:rsidRPr="00734C7E">
        <w:rPr>
          <w:iCs/>
          <w:sz w:val="28"/>
          <w:szCs w:val="28"/>
        </w:rPr>
        <w:t xml:space="preserve">on </w:t>
      </w:r>
      <w:r w:rsidRPr="00734C7E">
        <w:rPr>
          <w:iCs/>
          <w:sz w:val="28"/>
          <w:szCs w:val="28"/>
        </w:rPr>
        <w:t>maalistes asustuspiirkondades jätkuvalt kõrgem (25%) kui linna- ja väikelinnalise</w:t>
      </w:r>
      <w:r w:rsidR="00610D64" w:rsidRPr="00734C7E">
        <w:rPr>
          <w:iCs/>
          <w:sz w:val="28"/>
          <w:szCs w:val="28"/>
        </w:rPr>
        <w:t>s</w:t>
      </w:r>
      <w:r w:rsidRPr="00734C7E">
        <w:rPr>
          <w:iCs/>
          <w:sz w:val="28"/>
          <w:szCs w:val="28"/>
        </w:rPr>
        <w:t xml:space="preserve"> </w:t>
      </w:r>
      <w:r w:rsidRPr="00734C7E">
        <w:rPr>
          <w:iCs/>
          <w:sz w:val="28"/>
          <w:szCs w:val="28"/>
        </w:rPr>
        <w:lastRenderedPageBreak/>
        <w:t xml:space="preserve">asustuspiirkonnas (22%). Keskmine sissetulek leibkonnaliikme kohta ulatub Valgamaal viimastel andmetel vaid 71% sissetulekutest, mida saavad oma elujärje hüvanguks kasutada leibkonnaliikmed Harjumaal. </w:t>
      </w:r>
    </w:p>
    <w:p w14:paraId="0D3A6149" w14:textId="41795FBE" w:rsidR="00056457" w:rsidRPr="00734C7E" w:rsidRDefault="00414D05" w:rsidP="00734C7E">
      <w:pPr>
        <w:spacing w:line="240" w:lineRule="auto"/>
        <w:jc w:val="both"/>
        <w:rPr>
          <w:iCs/>
          <w:sz w:val="28"/>
          <w:szCs w:val="28"/>
        </w:rPr>
      </w:pPr>
      <w:r w:rsidRPr="00734C7E">
        <w:rPr>
          <w:iCs/>
          <w:sz w:val="28"/>
          <w:szCs w:val="28"/>
        </w:rPr>
        <w:t xml:space="preserve">Ka </w:t>
      </w:r>
      <w:r w:rsidR="0011386F" w:rsidRPr="00734C7E">
        <w:rPr>
          <w:iCs/>
          <w:sz w:val="28"/>
          <w:szCs w:val="28"/>
        </w:rPr>
        <w:t>peame me meeles pidama, et h</w:t>
      </w:r>
      <w:r w:rsidR="00EC4DEE" w:rsidRPr="00734C7E">
        <w:rPr>
          <w:iCs/>
          <w:sz w:val="28"/>
          <w:szCs w:val="28"/>
        </w:rPr>
        <w:t xml:space="preserve">ead piirkondade sisesed ja vahelised liikumis- ja ühendusvõimalused on </w:t>
      </w:r>
      <w:r w:rsidR="000C4A77" w:rsidRPr="00734C7E">
        <w:rPr>
          <w:iCs/>
          <w:sz w:val="28"/>
          <w:szCs w:val="28"/>
        </w:rPr>
        <w:t>üheks piirkondliku arengu põhieelduseks,</w:t>
      </w:r>
      <w:r w:rsidR="00EC4DEE" w:rsidRPr="00734C7E">
        <w:rPr>
          <w:iCs/>
          <w:sz w:val="28"/>
          <w:szCs w:val="28"/>
        </w:rPr>
        <w:t xml:space="preserve"> võimaldades saada hõlpsamini osa eri kohtades pakutavatest võimalustest ja hüvedest </w:t>
      </w:r>
      <w:r w:rsidR="0011386F" w:rsidRPr="00734C7E">
        <w:rPr>
          <w:iCs/>
          <w:sz w:val="28"/>
          <w:szCs w:val="28"/>
        </w:rPr>
        <w:t xml:space="preserve"> nagu </w:t>
      </w:r>
      <w:r w:rsidR="00EC4DEE" w:rsidRPr="00734C7E">
        <w:rPr>
          <w:iCs/>
          <w:sz w:val="28"/>
          <w:szCs w:val="28"/>
        </w:rPr>
        <w:t>töökohad, teenused, vaba-aja tegevused</w:t>
      </w:r>
      <w:r w:rsidRPr="00734C7E">
        <w:rPr>
          <w:iCs/>
          <w:sz w:val="28"/>
          <w:szCs w:val="28"/>
        </w:rPr>
        <w:t xml:space="preserve"> ja</w:t>
      </w:r>
      <w:r w:rsidR="00EC4DEE" w:rsidRPr="00734C7E">
        <w:rPr>
          <w:iCs/>
          <w:sz w:val="28"/>
          <w:szCs w:val="28"/>
        </w:rPr>
        <w:t xml:space="preserve"> sotsiaalsed </w:t>
      </w:r>
      <w:r w:rsidR="00610D64" w:rsidRPr="00734C7E">
        <w:rPr>
          <w:iCs/>
          <w:sz w:val="28"/>
          <w:szCs w:val="28"/>
        </w:rPr>
        <w:t>kontakti</w:t>
      </w:r>
      <w:r w:rsidR="00EC4DEE" w:rsidRPr="00734C7E">
        <w:rPr>
          <w:iCs/>
          <w:sz w:val="28"/>
          <w:szCs w:val="28"/>
        </w:rPr>
        <w:t>d</w:t>
      </w:r>
      <w:r w:rsidR="000C4A77" w:rsidRPr="00734C7E">
        <w:rPr>
          <w:iCs/>
          <w:sz w:val="28"/>
          <w:szCs w:val="28"/>
        </w:rPr>
        <w:t>.</w:t>
      </w:r>
      <w:r w:rsidR="00EC4DEE" w:rsidRPr="00734C7E">
        <w:rPr>
          <w:iCs/>
          <w:sz w:val="28"/>
          <w:szCs w:val="28"/>
        </w:rPr>
        <w:t xml:space="preserve"> </w:t>
      </w:r>
    </w:p>
    <w:p w14:paraId="13B2DD1A" w14:textId="5E6A59A6" w:rsidR="00AB157F" w:rsidRPr="00734C7E" w:rsidRDefault="0011386F" w:rsidP="00734C7E">
      <w:pPr>
        <w:spacing w:line="240" w:lineRule="auto"/>
        <w:jc w:val="both"/>
        <w:rPr>
          <w:iCs/>
          <w:sz w:val="28"/>
          <w:szCs w:val="28"/>
        </w:rPr>
      </w:pPr>
      <w:r w:rsidRPr="00734C7E">
        <w:rPr>
          <w:iCs/>
          <w:sz w:val="28"/>
          <w:szCs w:val="28"/>
        </w:rPr>
        <w:t>Paar aasta tagasi tehtud küsitluse alusel oli ü</w:t>
      </w:r>
      <w:r w:rsidR="000C4A77" w:rsidRPr="00734C7E">
        <w:rPr>
          <w:iCs/>
          <w:sz w:val="28"/>
          <w:szCs w:val="28"/>
        </w:rPr>
        <w:t>histranspordi teenusega rahulolu madalaim Jõgevamaal, ulatudes vaid 49%-</w:t>
      </w:r>
      <w:proofErr w:type="spellStart"/>
      <w:r w:rsidR="000C4A77" w:rsidRPr="00734C7E">
        <w:rPr>
          <w:iCs/>
          <w:sz w:val="28"/>
          <w:szCs w:val="28"/>
        </w:rPr>
        <w:t>ni</w:t>
      </w:r>
      <w:proofErr w:type="spellEnd"/>
      <w:r w:rsidR="000C4A77" w:rsidRPr="00734C7E">
        <w:rPr>
          <w:iCs/>
          <w:sz w:val="28"/>
          <w:szCs w:val="28"/>
        </w:rPr>
        <w:t xml:space="preserve">, samal ajal kui Tartu- ja Saaremaal on </w:t>
      </w:r>
      <w:r w:rsidR="00610D64" w:rsidRPr="00734C7E">
        <w:rPr>
          <w:iCs/>
          <w:sz w:val="28"/>
          <w:szCs w:val="28"/>
        </w:rPr>
        <w:t xml:space="preserve">rahulolu </w:t>
      </w:r>
      <w:r w:rsidR="000C4A77" w:rsidRPr="00734C7E">
        <w:rPr>
          <w:iCs/>
          <w:sz w:val="28"/>
          <w:szCs w:val="28"/>
        </w:rPr>
        <w:t>üle 70%.</w:t>
      </w:r>
      <w:r w:rsidR="00B80ADD" w:rsidRPr="00734C7E">
        <w:rPr>
          <w:iCs/>
          <w:sz w:val="28"/>
          <w:szCs w:val="28"/>
        </w:rPr>
        <w:t xml:space="preserve"> Puudulikku füüsilist ligipääsetavust aitavad tänapäeval leevendada üha enam ka digitaalsed ühendused</w:t>
      </w:r>
      <w:r w:rsidR="00610D64" w:rsidRPr="00734C7E">
        <w:rPr>
          <w:iCs/>
          <w:sz w:val="28"/>
          <w:szCs w:val="28"/>
        </w:rPr>
        <w:t>.</w:t>
      </w:r>
      <w:r w:rsidR="00B80ADD" w:rsidRPr="00734C7E">
        <w:rPr>
          <w:iCs/>
          <w:sz w:val="28"/>
          <w:szCs w:val="28"/>
        </w:rPr>
        <w:t xml:space="preserve"> </w:t>
      </w:r>
      <w:r w:rsidR="00610D64" w:rsidRPr="00734C7E">
        <w:rPr>
          <w:iCs/>
          <w:sz w:val="28"/>
          <w:szCs w:val="28"/>
        </w:rPr>
        <w:t>K</w:t>
      </w:r>
      <w:r w:rsidR="00B80ADD" w:rsidRPr="00734C7E">
        <w:rPr>
          <w:iCs/>
          <w:sz w:val="28"/>
          <w:szCs w:val="28"/>
        </w:rPr>
        <w:t xml:space="preserve">ui 2021.a seisuga on lairiba internetiühenduseta leibkondi enamikes piirkondades alles </w:t>
      </w:r>
      <w:r w:rsidR="00610D64" w:rsidRPr="00734C7E">
        <w:rPr>
          <w:iCs/>
          <w:sz w:val="28"/>
          <w:szCs w:val="28"/>
        </w:rPr>
        <w:t>suhteliselt</w:t>
      </w:r>
      <w:r w:rsidR="00B80ADD" w:rsidRPr="00734C7E">
        <w:rPr>
          <w:iCs/>
          <w:sz w:val="28"/>
          <w:szCs w:val="28"/>
        </w:rPr>
        <w:t xml:space="preserve"> vähe</w:t>
      </w:r>
      <w:r w:rsidR="00610D64" w:rsidRPr="00734C7E">
        <w:rPr>
          <w:iCs/>
          <w:sz w:val="28"/>
          <w:szCs w:val="28"/>
        </w:rPr>
        <w:t>,</w:t>
      </w:r>
      <w:r w:rsidR="00B80ADD" w:rsidRPr="00734C7E">
        <w:rPr>
          <w:iCs/>
          <w:sz w:val="28"/>
          <w:szCs w:val="28"/>
        </w:rPr>
        <w:t xml:space="preserve"> siis Võru- ja Põlvamaal </w:t>
      </w:r>
      <w:r w:rsidR="00610D64" w:rsidRPr="00734C7E">
        <w:rPr>
          <w:iCs/>
          <w:sz w:val="28"/>
          <w:szCs w:val="28"/>
        </w:rPr>
        <w:t xml:space="preserve">on neid </w:t>
      </w:r>
      <w:r w:rsidR="00B80ADD" w:rsidRPr="00734C7E">
        <w:rPr>
          <w:iCs/>
          <w:sz w:val="28"/>
          <w:szCs w:val="28"/>
        </w:rPr>
        <w:t>ikka 16-17%. Maa- ja linnapiirkondade vahel tervikuna suuri erinevusi siiski enam pole, vastavalt 8 ja 9%.</w:t>
      </w:r>
      <w:r w:rsidR="00610D64" w:rsidRPr="00734C7E">
        <w:rPr>
          <w:iCs/>
          <w:sz w:val="28"/>
          <w:szCs w:val="28"/>
        </w:rPr>
        <w:t xml:space="preserve"> Omaette teema on lairiba ühenduse kiirus ja teenuse taskukohasus. Viimane on ilmselt ka põhjuseks miks suhteliselt väike osa majapidamistest viimastel aastatel loodud lairiba ühenduse reaalselt kasutusele võtab.</w:t>
      </w:r>
    </w:p>
    <w:p w14:paraId="5056F5C6" w14:textId="343F0EAF" w:rsidR="00056457" w:rsidRPr="00734C7E" w:rsidRDefault="0011386F" w:rsidP="00734C7E">
      <w:pPr>
        <w:spacing w:line="240" w:lineRule="auto"/>
        <w:jc w:val="both"/>
        <w:rPr>
          <w:iCs/>
          <w:sz w:val="28"/>
          <w:szCs w:val="28"/>
        </w:rPr>
      </w:pPr>
      <w:r w:rsidRPr="00734C7E">
        <w:rPr>
          <w:iCs/>
          <w:sz w:val="28"/>
          <w:szCs w:val="28"/>
        </w:rPr>
        <w:t>Ja lõpuks on oluline ka p</w:t>
      </w:r>
      <w:r w:rsidR="00AB157F" w:rsidRPr="00734C7E">
        <w:rPr>
          <w:iCs/>
          <w:sz w:val="28"/>
          <w:szCs w:val="28"/>
        </w:rPr>
        <w:t xml:space="preserve">iirkondlik ebavõrdsus </w:t>
      </w:r>
      <w:r w:rsidR="0004150F" w:rsidRPr="00734C7E">
        <w:rPr>
          <w:iCs/>
          <w:sz w:val="28"/>
          <w:szCs w:val="28"/>
        </w:rPr>
        <w:t xml:space="preserve">inimeste </w:t>
      </w:r>
      <w:r w:rsidR="009B7C15" w:rsidRPr="00734C7E">
        <w:rPr>
          <w:iCs/>
          <w:sz w:val="28"/>
          <w:szCs w:val="28"/>
        </w:rPr>
        <w:t xml:space="preserve">eneseteostusvõimalustes ja ühiskonnaellu kaasatuses </w:t>
      </w:r>
      <w:r w:rsidR="009B5F74" w:rsidRPr="00734C7E">
        <w:rPr>
          <w:iCs/>
          <w:sz w:val="28"/>
          <w:szCs w:val="28"/>
        </w:rPr>
        <w:t xml:space="preserve">- </w:t>
      </w:r>
      <w:r w:rsidR="00610D64" w:rsidRPr="00734C7E">
        <w:rPr>
          <w:iCs/>
          <w:sz w:val="28"/>
          <w:szCs w:val="28"/>
        </w:rPr>
        <w:t>se</w:t>
      </w:r>
      <w:r w:rsidR="000C6562" w:rsidRPr="00734C7E">
        <w:rPr>
          <w:iCs/>
          <w:sz w:val="28"/>
          <w:szCs w:val="28"/>
        </w:rPr>
        <w:t>llest oleneb laias laastus</w:t>
      </w:r>
      <w:r w:rsidR="00610D64" w:rsidRPr="00734C7E">
        <w:rPr>
          <w:iCs/>
          <w:sz w:val="28"/>
          <w:szCs w:val="28"/>
        </w:rPr>
        <w:t>,</w:t>
      </w:r>
      <w:r w:rsidR="000C6562" w:rsidRPr="00734C7E">
        <w:rPr>
          <w:iCs/>
          <w:sz w:val="28"/>
          <w:szCs w:val="28"/>
        </w:rPr>
        <w:t xml:space="preserve"> kuivõrd suur tugi piirkonna arengule tuleb piirkonna oma inimeste</w:t>
      </w:r>
      <w:r w:rsidR="00610D64" w:rsidRPr="00734C7E">
        <w:rPr>
          <w:iCs/>
          <w:sz w:val="28"/>
          <w:szCs w:val="28"/>
        </w:rPr>
        <w:t xml:space="preserve"> initsiatiivist ja oskustest</w:t>
      </w:r>
      <w:r w:rsidR="000C6562" w:rsidRPr="00734C7E">
        <w:rPr>
          <w:iCs/>
          <w:sz w:val="28"/>
          <w:szCs w:val="28"/>
        </w:rPr>
        <w:t>.</w:t>
      </w:r>
      <w:r w:rsidR="0015511F" w:rsidRPr="00734C7E">
        <w:rPr>
          <w:iCs/>
          <w:sz w:val="28"/>
          <w:szCs w:val="28"/>
        </w:rPr>
        <w:t xml:space="preserve"> Seda, kui aktiivselt inimesed kohalikus ühiskonnaelus kaasalöömise võimalusi kasutavad, määrab ka nende piirkondliku kuuluvustunde ja tulevikuperspektiivi tajumine, mis samuti piirkonniti erineb. </w:t>
      </w:r>
    </w:p>
    <w:p w14:paraId="452C4AA4" w14:textId="77777777" w:rsidR="0011386F" w:rsidRPr="00734C7E" w:rsidRDefault="0015511F" w:rsidP="00734C7E">
      <w:pPr>
        <w:spacing w:line="240" w:lineRule="auto"/>
        <w:jc w:val="both"/>
        <w:rPr>
          <w:iCs/>
          <w:sz w:val="28"/>
          <w:szCs w:val="28"/>
        </w:rPr>
      </w:pPr>
      <w:r w:rsidRPr="00734C7E">
        <w:rPr>
          <w:iCs/>
          <w:sz w:val="28"/>
          <w:szCs w:val="28"/>
        </w:rPr>
        <w:t>Stat</w:t>
      </w:r>
      <w:r w:rsidR="00610D64" w:rsidRPr="00734C7E">
        <w:rPr>
          <w:iCs/>
          <w:sz w:val="28"/>
          <w:szCs w:val="28"/>
        </w:rPr>
        <w:t>istikaameti</w:t>
      </w:r>
      <w:r w:rsidRPr="00734C7E">
        <w:rPr>
          <w:iCs/>
          <w:sz w:val="28"/>
          <w:szCs w:val="28"/>
        </w:rPr>
        <w:t xml:space="preserve"> andmete</w:t>
      </w:r>
      <w:r w:rsidR="00FF640B" w:rsidRPr="00734C7E">
        <w:rPr>
          <w:iCs/>
          <w:sz w:val="28"/>
          <w:szCs w:val="28"/>
        </w:rPr>
        <w:t>l</w:t>
      </w:r>
      <w:r w:rsidRPr="00734C7E">
        <w:rPr>
          <w:iCs/>
          <w:sz w:val="28"/>
          <w:szCs w:val="28"/>
        </w:rPr>
        <w:t xml:space="preserve"> </w:t>
      </w:r>
      <w:r w:rsidR="00610D64" w:rsidRPr="00734C7E">
        <w:rPr>
          <w:iCs/>
          <w:sz w:val="28"/>
          <w:szCs w:val="28"/>
        </w:rPr>
        <w:t>hak</w:t>
      </w:r>
      <w:r w:rsidRPr="00734C7E">
        <w:rPr>
          <w:iCs/>
          <w:sz w:val="28"/>
          <w:szCs w:val="28"/>
        </w:rPr>
        <w:t>kab i</w:t>
      </w:r>
      <w:r w:rsidR="000C6562" w:rsidRPr="00734C7E">
        <w:rPr>
          <w:iCs/>
          <w:sz w:val="28"/>
          <w:szCs w:val="28"/>
        </w:rPr>
        <w:t xml:space="preserve">nimeste kultuurielus ja vabatahtlikus tegevuses osalemises </w:t>
      </w:r>
      <w:r w:rsidRPr="00734C7E">
        <w:rPr>
          <w:iCs/>
          <w:sz w:val="28"/>
          <w:szCs w:val="28"/>
        </w:rPr>
        <w:t>eelkõige</w:t>
      </w:r>
      <w:r w:rsidR="000C6562" w:rsidRPr="00734C7E">
        <w:rPr>
          <w:iCs/>
          <w:sz w:val="28"/>
          <w:szCs w:val="28"/>
        </w:rPr>
        <w:t xml:space="preserve"> silma kõrgem </w:t>
      </w:r>
      <w:r w:rsidRPr="00734C7E">
        <w:rPr>
          <w:iCs/>
          <w:sz w:val="28"/>
          <w:szCs w:val="28"/>
        </w:rPr>
        <w:t>aktiivsus</w:t>
      </w:r>
      <w:r w:rsidR="000C6562" w:rsidRPr="00734C7E">
        <w:rPr>
          <w:iCs/>
          <w:sz w:val="28"/>
          <w:szCs w:val="28"/>
        </w:rPr>
        <w:t xml:space="preserve"> Põhja-Eesti</w:t>
      </w:r>
      <w:r w:rsidR="00610D64" w:rsidRPr="00734C7E">
        <w:rPr>
          <w:iCs/>
          <w:sz w:val="28"/>
          <w:szCs w:val="28"/>
        </w:rPr>
        <w:t>s</w:t>
      </w:r>
      <w:r w:rsidR="000C6562" w:rsidRPr="00734C7E">
        <w:rPr>
          <w:iCs/>
          <w:sz w:val="28"/>
          <w:szCs w:val="28"/>
        </w:rPr>
        <w:t xml:space="preserve"> ning madalam </w:t>
      </w:r>
      <w:r w:rsidR="00FF640B" w:rsidRPr="00734C7E">
        <w:rPr>
          <w:iCs/>
          <w:sz w:val="28"/>
          <w:szCs w:val="28"/>
        </w:rPr>
        <w:t xml:space="preserve">osalemine </w:t>
      </w:r>
      <w:r w:rsidR="000C6562" w:rsidRPr="00734C7E">
        <w:rPr>
          <w:iCs/>
          <w:sz w:val="28"/>
          <w:szCs w:val="28"/>
        </w:rPr>
        <w:t>kultuurielus Ida-Virumaal (ligikaudu 20% madalam kui Harjumaal)</w:t>
      </w:r>
      <w:r w:rsidR="00610D64" w:rsidRPr="00734C7E">
        <w:rPr>
          <w:iCs/>
          <w:sz w:val="28"/>
          <w:szCs w:val="28"/>
        </w:rPr>
        <w:t>.</w:t>
      </w:r>
      <w:r w:rsidR="000C6562" w:rsidRPr="00734C7E">
        <w:rPr>
          <w:iCs/>
          <w:sz w:val="28"/>
          <w:szCs w:val="28"/>
        </w:rPr>
        <w:t xml:space="preserve"> </w:t>
      </w:r>
      <w:r w:rsidR="00610D64" w:rsidRPr="00734C7E">
        <w:rPr>
          <w:iCs/>
          <w:sz w:val="28"/>
          <w:szCs w:val="28"/>
        </w:rPr>
        <w:t>Samuti madalam osalemine</w:t>
      </w:r>
      <w:r w:rsidR="000C6562" w:rsidRPr="00734C7E">
        <w:rPr>
          <w:iCs/>
          <w:sz w:val="28"/>
          <w:szCs w:val="28"/>
        </w:rPr>
        <w:t xml:space="preserve"> vabatahtlikus tegevuses Kesk- ja Lääne-Eestis. </w:t>
      </w:r>
      <w:r w:rsidRPr="00734C7E">
        <w:rPr>
          <w:iCs/>
          <w:sz w:val="28"/>
          <w:szCs w:val="28"/>
        </w:rPr>
        <w:t>Ka v</w:t>
      </w:r>
      <w:r w:rsidR="000C6562" w:rsidRPr="00734C7E">
        <w:rPr>
          <w:iCs/>
          <w:sz w:val="28"/>
          <w:szCs w:val="28"/>
        </w:rPr>
        <w:t xml:space="preserve">õimalusi kohaliku elu kujundamises kaasa rääkida </w:t>
      </w:r>
      <w:r w:rsidRPr="00734C7E">
        <w:rPr>
          <w:iCs/>
          <w:sz w:val="28"/>
          <w:szCs w:val="28"/>
        </w:rPr>
        <w:t>tunnetatakse</w:t>
      </w:r>
      <w:r w:rsidR="000C6562" w:rsidRPr="00734C7E">
        <w:rPr>
          <w:iCs/>
          <w:sz w:val="28"/>
          <w:szCs w:val="28"/>
        </w:rPr>
        <w:t xml:space="preserve"> pii</w:t>
      </w:r>
      <w:r w:rsidRPr="00734C7E">
        <w:rPr>
          <w:iCs/>
          <w:sz w:val="28"/>
          <w:szCs w:val="28"/>
        </w:rPr>
        <w:t>rkonniti erinevalt</w:t>
      </w:r>
      <w:r w:rsidR="000206C1" w:rsidRPr="00734C7E">
        <w:rPr>
          <w:iCs/>
          <w:sz w:val="28"/>
          <w:szCs w:val="28"/>
        </w:rPr>
        <w:t xml:space="preserve"> ehk</w:t>
      </w:r>
      <w:r w:rsidR="00FF640B" w:rsidRPr="00734C7E">
        <w:rPr>
          <w:iCs/>
          <w:sz w:val="28"/>
          <w:szCs w:val="28"/>
        </w:rPr>
        <w:t xml:space="preserve"> </w:t>
      </w:r>
      <w:r w:rsidR="00610D64" w:rsidRPr="00734C7E">
        <w:rPr>
          <w:iCs/>
          <w:sz w:val="28"/>
          <w:szCs w:val="28"/>
        </w:rPr>
        <w:t xml:space="preserve">kui </w:t>
      </w:r>
      <w:r w:rsidR="000C6562" w:rsidRPr="00734C7E">
        <w:rPr>
          <w:iCs/>
          <w:sz w:val="28"/>
          <w:szCs w:val="28"/>
        </w:rPr>
        <w:t xml:space="preserve">Ida-Virumaal on kaasatusega </w:t>
      </w:r>
      <w:r w:rsidR="00FF640B" w:rsidRPr="00734C7E">
        <w:rPr>
          <w:iCs/>
          <w:sz w:val="28"/>
          <w:szCs w:val="28"/>
        </w:rPr>
        <w:t xml:space="preserve">oma </w:t>
      </w:r>
      <w:proofErr w:type="spellStart"/>
      <w:r w:rsidR="00FF640B" w:rsidRPr="00734C7E">
        <w:rPr>
          <w:iCs/>
          <w:sz w:val="28"/>
          <w:szCs w:val="28"/>
        </w:rPr>
        <w:t>KOV-i</w:t>
      </w:r>
      <w:proofErr w:type="spellEnd"/>
      <w:r w:rsidR="000C6562" w:rsidRPr="00734C7E">
        <w:rPr>
          <w:iCs/>
          <w:sz w:val="28"/>
          <w:szCs w:val="28"/>
        </w:rPr>
        <w:t xml:space="preserve"> arengu kavandamisse</w:t>
      </w:r>
      <w:r w:rsidRPr="00734C7E">
        <w:rPr>
          <w:iCs/>
          <w:sz w:val="28"/>
          <w:szCs w:val="28"/>
        </w:rPr>
        <w:t xml:space="preserve"> rahul </w:t>
      </w:r>
      <w:r w:rsidR="00FF640B" w:rsidRPr="00734C7E">
        <w:rPr>
          <w:iCs/>
          <w:sz w:val="28"/>
          <w:szCs w:val="28"/>
        </w:rPr>
        <w:t>vaid</w:t>
      </w:r>
      <w:r w:rsidRPr="00734C7E">
        <w:rPr>
          <w:iCs/>
          <w:sz w:val="28"/>
          <w:szCs w:val="28"/>
        </w:rPr>
        <w:t xml:space="preserve"> </w:t>
      </w:r>
      <w:r w:rsidR="000206C1" w:rsidRPr="00734C7E">
        <w:rPr>
          <w:iCs/>
          <w:sz w:val="28"/>
          <w:szCs w:val="28"/>
        </w:rPr>
        <w:t xml:space="preserve">ca </w:t>
      </w:r>
      <w:r w:rsidRPr="00734C7E">
        <w:rPr>
          <w:iCs/>
          <w:sz w:val="28"/>
          <w:szCs w:val="28"/>
        </w:rPr>
        <w:t xml:space="preserve">30% </w:t>
      </w:r>
      <w:r w:rsidR="00FF640B" w:rsidRPr="00734C7E">
        <w:rPr>
          <w:iCs/>
          <w:sz w:val="28"/>
          <w:szCs w:val="28"/>
        </w:rPr>
        <w:t>ja Jõgeva/</w:t>
      </w:r>
      <w:r w:rsidR="000C6562" w:rsidRPr="00734C7E">
        <w:rPr>
          <w:iCs/>
          <w:sz w:val="28"/>
          <w:szCs w:val="28"/>
        </w:rPr>
        <w:t>Valga</w:t>
      </w:r>
      <w:r w:rsidR="00FF640B" w:rsidRPr="00734C7E">
        <w:rPr>
          <w:iCs/>
          <w:sz w:val="28"/>
          <w:szCs w:val="28"/>
        </w:rPr>
        <w:t>/</w:t>
      </w:r>
      <w:r w:rsidR="000C6562" w:rsidRPr="00734C7E">
        <w:rPr>
          <w:iCs/>
          <w:sz w:val="28"/>
          <w:szCs w:val="28"/>
        </w:rPr>
        <w:t xml:space="preserve"> Põlvamaal </w:t>
      </w:r>
      <w:r w:rsidRPr="00734C7E">
        <w:rPr>
          <w:iCs/>
          <w:sz w:val="28"/>
          <w:szCs w:val="28"/>
        </w:rPr>
        <w:t>40</w:t>
      </w:r>
      <w:r w:rsidR="000C6562" w:rsidRPr="00734C7E">
        <w:rPr>
          <w:iCs/>
          <w:sz w:val="28"/>
          <w:szCs w:val="28"/>
        </w:rPr>
        <w:t>%</w:t>
      </w:r>
      <w:r w:rsidRPr="00734C7E">
        <w:rPr>
          <w:iCs/>
          <w:sz w:val="28"/>
          <w:szCs w:val="28"/>
        </w:rPr>
        <w:t xml:space="preserve"> </w:t>
      </w:r>
      <w:r w:rsidR="000206C1" w:rsidRPr="00734C7E">
        <w:rPr>
          <w:iCs/>
          <w:sz w:val="28"/>
          <w:szCs w:val="28"/>
        </w:rPr>
        <w:t>inimesi</w:t>
      </w:r>
      <w:r w:rsidR="000C6562" w:rsidRPr="00734C7E">
        <w:rPr>
          <w:iCs/>
          <w:sz w:val="28"/>
          <w:szCs w:val="28"/>
        </w:rPr>
        <w:t xml:space="preserve">, </w:t>
      </w:r>
      <w:r w:rsidRPr="00734C7E">
        <w:rPr>
          <w:iCs/>
          <w:sz w:val="28"/>
          <w:szCs w:val="28"/>
        </w:rPr>
        <w:t xml:space="preserve">siis </w:t>
      </w:r>
      <w:r w:rsidR="000C6562" w:rsidRPr="00734C7E">
        <w:rPr>
          <w:iCs/>
          <w:sz w:val="28"/>
          <w:szCs w:val="28"/>
        </w:rPr>
        <w:t xml:space="preserve">Lääne-Eesti saartel ja Läänemaal </w:t>
      </w:r>
      <w:r w:rsidRPr="00734C7E">
        <w:rPr>
          <w:iCs/>
          <w:sz w:val="28"/>
          <w:szCs w:val="28"/>
        </w:rPr>
        <w:t xml:space="preserve">koguni </w:t>
      </w:r>
      <w:r w:rsidR="000C6562" w:rsidRPr="00734C7E">
        <w:rPr>
          <w:iCs/>
          <w:sz w:val="28"/>
          <w:szCs w:val="28"/>
        </w:rPr>
        <w:t>üle 60%</w:t>
      </w:r>
      <w:r w:rsidR="00610D64" w:rsidRPr="00734C7E">
        <w:rPr>
          <w:iCs/>
          <w:sz w:val="28"/>
          <w:szCs w:val="28"/>
        </w:rPr>
        <w:t xml:space="preserve"> elanikest</w:t>
      </w:r>
      <w:r w:rsidR="000C6562" w:rsidRPr="00734C7E">
        <w:rPr>
          <w:iCs/>
          <w:sz w:val="28"/>
          <w:szCs w:val="28"/>
        </w:rPr>
        <w:t xml:space="preserve">. </w:t>
      </w:r>
    </w:p>
    <w:p w14:paraId="4065ED41" w14:textId="51252F89" w:rsidR="0011386F" w:rsidRPr="00734C7E" w:rsidRDefault="0011386F" w:rsidP="00734C7E">
      <w:pPr>
        <w:spacing w:line="240" w:lineRule="auto"/>
        <w:jc w:val="both"/>
        <w:rPr>
          <w:iCs/>
          <w:sz w:val="28"/>
          <w:szCs w:val="28"/>
        </w:rPr>
      </w:pPr>
      <w:r w:rsidRPr="00734C7E">
        <w:rPr>
          <w:iCs/>
          <w:sz w:val="28"/>
          <w:szCs w:val="28"/>
        </w:rPr>
        <w:t xml:space="preserve">Kui me nüüd nende trendide pealt liigume edasi regionaalpoliitika tööriistade </w:t>
      </w:r>
      <w:r w:rsidR="00414D05" w:rsidRPr="00734C7E">
        <w:rPr>
          <w:iCs/>
          <w:sz w:val="28"/>
          <w:szCs w:val="28"/>
        </w:rPr>
        <w:t>juurde</w:t>
      </w:r>
      <w:r w:rsidRPr="00734C7E">
        <w:rPr>
          <w:iCs/>
          <w:sz w:val="28"/>
          <w:szCs w:val="28"/>
        </w:rPr>
        <w:t>, siis selles osas on mul hulk häid uudiseid.</w:t>
      </w:r>
    </w:p>
    <w:p w14:paraId="73C32A67" w14:textId="60AA32F8" w:rsidR="0011386F" w:rsidRPr="00734C7E" w:rsidRDefault="0011386F" w:rsidP="00734C7E">
      <w:pPr>
        <w:spacing w:line="240" w:lineRule="auto"/>
        <w:jc w:val="both"/>
        <w:rPr>
          <w:iCs/>
          <w:sz w:val="28"/>
          <w:szCs w:val="28"/>
        </w:rPr>
      </w:pPr>
      <w:r w:rsidRPr="00734C7E">
        <w:rPr>
          <w:iCs/>
          <w:sz w:val="28"/>
          <w:szCs w:val="28"/>
        </w:rPr>
        <w:t xml:space="preserve">Rääkides ettevõtete arengust ja konkurentsivõimest, saan öelda, et mitmed senised ettevõtluse toetusmeetmed jätkuvad. Ka järgnevatel aastatel pakuvad maakondlikud arenduskeskused alustavatele ja väikeettevõtetele nõustamisteenuseid ning koolitusi, EAS viib ellu erinevaid ettevõtlikkust edendavaid ning ettevõtete juhtimiskvaliteeti ja iduettevõtlust hoogustavaid </w:t>
      </w:r>
      <w:r w:rsidRPr="00734C7E">
        <w:rPr>
          <w:iCs/>
          <w:sz w:val="28"/>
          <w:szCs w:val="28"/>
        </w:rPr>
        <w:lastRenderedPageBreak/>
        <w:t>arendustegevusi. Ettevõtetel on jätkuvalt võimalused taotleda toetust starditoetusteks, rakendusuuringuteks, innovatsiooni- ja arendusosakuteks</w:t>
      </w:r>
      <w:r w:rsidR="00414D05" w:rsidRPr="00734C7E">
        <w:rPr>
          <w:iCs/>
          <w:sz w:val="28"/>
          <w:szCs w:val="28"/>
        </w:rPr>
        <w:t xml:space="preserve"> </w:t>
      </w:r>
      <w:r w:rsidR="0034054D" w:rsidRPr="00734C7E">
        <w:rPr>
          <w:iCs/>
          <w:sz w:val="28"/>
          <w:szCs w:val="28"/>
        </w:rPr>
        <w:t xml:space="preserve">ja </w:t>
      </w:r>
      <w:r w:rsidRPr="00734C7E">
        <w:rPr>
          <w:iCs/>
          <w:sz w:val="28"/>
          <w:szCs w:val="28"/>
        </w:rPr>
        <w:t>rätseplahendustena arendustegevusteks või toodete ja turgude arendamiseks. Samuti jätkuvad erinevad laenu ja käendusmeetmed ning tegevused ettevõtete rahvusvahelistumise toetamiseks.</w:t>
      </w:r>
    </w:p>
    <w:p w14:paraId="18C24C7E" w14:textId="5F0EAF45" w:rsidR="0034054D" w:rsidRPr="00734C7E" w:rsidRDefault="0034054D" w:rsidP="00734C7E">
      <w:pPr>
        <w:spacing w:line="240" w:lineRule="auto"/>
        <w:jc w:val="both"/>
        <w:rPr>
          <w:iCs/>
          <w:sz w:val="28"/>
          <w:szCs w:val="28"/>
        </w:rPr>
      </w:pPr>
      <w:r w:rsidRPr="00734C7E">
        <w:rPr>
          <w:iCs/>
          <w:sz w:val="28"/>
          <w:szCs w:val="28"/>
        </w:rPr>
        <w:t xml:space="preserve">Samuti on </w:t>
      </w:r>
      <w:r w:rsidR="0011386F" w:rsidRPr="00734C7E">
        <w:rPr>
          <w:iCs/>
          <w:sz w:val="28"/>
          <w:szCs w:val="28"/>
        </w:rPr>
        <w:t xml:space="preserve">lisandumas uusi ettevõtetele suunatud meetmeid. Näiteks rohe- ja digitehnoloogia ja oskuste arendamise toetusmeetmed </w:t>
      </w:r>
      <w:r w:rsidRPr="00734C7E">
        <w:rPr>
          <w:iCs/>
          <w:sz w:val="28"/>
          <w:szCs w:val="28"/>
        </w:rPr>
        <w:t xml:space="preserve">läbi </w:t>
      </w:r>
      <w:proofErr w:type="spellStart"/>
      <w:r w:rsidRPr="00734C7E">
        <w:rPr>
          <w:iCs/>
          <w:sz w:val="28"/>
          <w:szCs w:val="28"/>
        </w:rPr>
        <w:t>Keskonnainvesteeringute</w:t>
      </w:r>
      <w:proofErr w:type="spellEnd"/>
      <w:r w:rsidRPr="00734C7E">
        <w:rPr>
          <w:iCs/>
          <w:sz w:val="28"/>
          <w:szCs w:val="28"/>
        </w:rPr>
        <w:t xml:space="preserve"> keskuse mahus 40 miljonit eurot ri</w:t>
      </w:r>
      <w:r w:rsidR="0011386F" w:rsidRPr="00734C7E">
        <w:rPr>
          <w:iCs/>
          <w:sz w:val="28"/>
          <w:szCs w:val="28"/>
        </w:rPr>
        <w:t>ngmajanduse</w:t>
      </w:r>
      <w:r w:rsidRPr="00734C7E">
        <w:rPr>
          <w:iCs/>
          <w:sz w:val="28"/>
          <w:szCs w:val="28"/>
        </w:rPr>
        <w:t xml:space="preserve">le ja 17 miljonite eurot </w:t>
      </w:r>
      <w:r w:rsidR="0011386F" w:rsidRPr="00734C7E">
        <w:rPr>
          <w:iCs/>
          <w:sz w:val="28"/>
          <w:szCs w:val="28"/>
        </w:rPr>
        <w:t>rohetehnoloogiatek</w:t>
      </w:r>
      <w:r w:rsidRPr="00734C7E">
        <w:rPr>
          <w:iCs/>
          <w:sz w:val="28"/>
          <w:szCs w:val="28"/>
        </w:rPr>
        <w:t xml:space="preserve">s. Ettevõtluse ja Innovatsiooni sihtasutusel on </w:t>
      </w:r>
      <w:r w:rsidR="0011386F" w:rsidRPr="00734C7E">
        <w:rPr>
          <w:iCs/>
          <w:sz w:val="28"/>
          <w:szCs w:val="28"/>
        </w:rPr>
        <w:t>ettevõtete digipöördeks 68</w:t>
      </w:r>
      <w:r w:rsidRPr="00734C7E">
        <w:rPr>
          <w:iCs/>
          <w:sz w:val="28"/>
          <w:szCs w:val="28"/>
        </w:rPr>
        <w:t xml:space="preserve"> miljonit eurot</w:t>
      </w:r>
      <w:r w:rsidR="0011386F" w:rsidRPr="00734C7E">
        <w:rPr>
          <w:iCs/>
          <w:sz w:val="28"/>
          <w:szCs w:val="28"/>
        </w:rPr>
        <w:t>, tootmisettevõtete ärimudelite arendamiseks 9</w:t>
      </w:r>
      <w:r w:rsidRPr="00734C7E">
        <w:rPr>
          <w:iCs/>
          <w:sz w:val="28"/>
          <w:szCs w:val="28"/>
        </w:rPr>
        <w:t xml:space="preserve"> miljonit eurot </w:t>
      </w:r>
      <w:r w:rsidR="0011386F" w:rsidRPr="00734C7E">
        <w:rPr>
          <w:iCs/>
          <w:sz w:val="28"/>
          <w:szCs w:val="28"/>
        </w:rPr>
        <w:t>ja rohepööret toetavateks laenudeks</w:t>
      </w:r>
      <w:r w:rsidR="002A5877" w:rsidRPr="00734C7E">
        <w:rPr>
          <w:iCs/>
          <w:sz w:val="28"/>
          <w:szCs w:val="28"/>
        </w:rPr>
        <w:t xml:space="preserve"> ja </w:t>
      </w:r>
      <w:r w:rsidR="0011386F" w:rsidRPr="00734C7E">
        <w:rPr>
          <w:iCs/>
          <w:sz w:val="28"/>
          <w:szCs w:val="28"/>
        </w:rPr>
        <w:t>käendusteks rohefondist 100</w:t>
      </w:r>
      <w:r w:rsidRPr="00734C7E">
        <w:rPr>
          <w:iCs/>
          <w:sz w:val="28"/>
          <w:szCs w:val="28"/>
        </w:rPr>
        <w:t xml:space="preserve"> miljonit eurot</w:t>
      </w:r>
      <w:r w:rsidR="002A5877" w:rsidRPr="00734C7E">
        <w:rPr>
          <w:iCs/>
          <w:sz w:val="28"/>
          <w:szCs w:val="28"/>
        </w:rPr>
        <w:t>.</w:t>
      </w:r>
    </w:p>
    <w:p w14:paraId="213E9E24" w14:textId="1C093652" w:rsidR="0011386F" w:rsidRPr="00734C7E" w:rsidRDefault="0034054D" w:rsidP="00734C7E">
      <w:pPr>
        <w:spacing w:line="240" w:lineRule="auto"/>
        <w:jc w:val="both"/>
        <w:rPr>
          <w:iCs/>
          <w:sz w:val="28"/>
          <w:szCs w:val="28"/>
        </w:rPr>
      </w:pPr>
      <w:r w:rsidRPr="00734C7E">
        <w:rPr>
          <w:iCs/>
          <w:sz w:val="28"/>
          <w:szCs w:val="28"/>
        </w:rPr>
        <w:t xml:space="preserve">Samuti on </w:t>
      </w:r>
      <w:r w:rsidR="0011386F" w:rsidRPr="00734C7E">
        <w:rPr>
          <w:iCs/>
          <w:sz w:val="28"/>
          <w:szCs w:val="28"/>
        </w:rPr>
        <w:t xml:space="preserve">toetused ettevõtete teadus-arendusvõimekuse kasvatamiseks </w:t>
      </w:r>
      <w:r w:rsidRPr="00734C7E">
        <w:rPr>
          <w:iCs/>
          <w:sz w:val="28"/>
          <w:szCs w:val="28"/>
        </w:rPr>
        <w:t xml:space="preserve">summas </w:t>
      </w:r>
      <w:r w:rsidR="0011386F" w:rsidRPr="00734C7E">
        <w:rPr>
          <w:iCs/>
          <w:sz w:val="28"/>
          <w:szCs w:val="28"/>
        </w:rPr>
        <w:t>19,8</w:t>
      </w:r>
      <w:r w:rsidRPr="00734C7E">
        <w:rPr>
          <w:iCs/>
          <w:sz w:val="28"/>
          <w:szCs w:val="28"/>
        </w:rPr>
        <w:t xml:space="preserve"> </w:t>
      </w:r>
      <w:bookmarkStart w:id="0" w:name="_Hlk120891475"/>
      <w:r w:rsidRPr="00734C7E">
        <w:rPr>
          <w:iCs/>
          <w:sz w:val="28"/>
          <w:szCs w:val="28"/>
        </w:rPr>
        <w:t>miljonit eurot</w:t>
      </w:r>
      <w:bookmarkEnd w:id="0"/>
      <w:r w:rsidR="0011386F" w:rsidRPr="00734C7E">
        <w:rPr>
          <w:iCs/>
          <w:sz w:val="28"/>
          <w:szCs w:val="28"/>
        </w:rPr>
        <w:t>, turismisektori elavdamiseks 40</w:t>
      </w:r>
      <w:r w:rsidRPr="00734C7E">
        <w:rPr>
          <w:iCs/>
          <w:sz w:val="28"/>
          <w:szCs w:val="28"/>
        </w:rPr>
        <w:t xml:space="preserve"> miljonit eurot</w:t>
      </w:r>
      <w:r w:rsidR="0011386F" w:rsidRPr="00734C7E">
        <w:rPr>
          <w:iCs/>
          <w:sz w:val="28"/>
          <w:szCs w:val="28"/>
        </w:rPr>
        <w:t>, ettevõtete varustuskindluse suurendamiseks 20</w:t>
      </w:r>
      <w:r w:rsidRPr="00734C7E">
        <w:rPr>
          <w:iCs/>
          <w:sz w:val="28"/>
          <w:szCs w:val="28"/>
        </w:rPr>
        <w:t xml:space="preserve"> miljonit eurot. K</w:t>
      </w:r>
      <w:r w:rsidR="0011386F" w:rsidRPr="00734C7E">
        <w:rPr>
          <w:iCs/>
          <w:sz w:val="28"/>
          <w:szCs w:val="28"/>
        </w:rPr>
        <w:t xml:space="preserve">ohalikele omavalitsustele ettevõtlustaristu, tugiteenuste ja võrgustike arendamiseks </w:t>
      </w:r>
      <w:r w:rsidRPr="00734C7E">
        <w:rPr>
          <w:iCs/>
          <w:sz w:val="28"/>
          <w:szCs w:val="28"/>
        </w:rPr>
        <w:t xml:space="preserve">on </w:t>
      </w:r>
      <w:r w:rsidR="002A5877" w:rsidRPr="00734C7E">
        <w:rPr>
          <w:iCs/>
          <w:sz w:val="28"/>
          <w:szCs w:val="28"/>
        </w:rPr>
        <w:t xml:space="preserve">riigihalduse ministri </w:t>
      </w:r>
      <w:r w:rsidRPr="00734C7E">
        <w:rPr>
          <w:iCs/>
          <w:sz w:val="28"/>
          <w:szCs w:val="28"/>
        </w:rPr>
        <w:t xml:space="preserve">eelarves </w:t>
      </w:r>
      <w:r w:rsidR="0011386F" w:rsidRPr="00734C7E">
        <w:rPr>
          <w:iCs/>
          <w:sz w:val="28"/>
          <w:szCs w:val="28"/>
        </w:rPr>
        <w:t>84</w:t>
      </w:r>
      <w:r w:rsidRPr="00734C7E">
        <w:rPr>
          <w:iCs/>
          <w:sz w:val="28"/>
          <w:szCs w:val="28"/>
        </w:rPr>
        <w:t xml:space="preserve"> miljonit eurot</w:t>
      </w:r>
      <w:r w:rsidR="0011386F" w:rsidRPr="00734C7E">
        <w:rPr>
          <w:iCs/>
          <w:sz w:val="28"/>
          <w:szCs w:val="28"/>
        </w:rPr>
        <w:t>.</w:t>
      </w:r>
    </w:p>
    <w:p w14:paraId="7A459421" w14:textId="71E5192C" w:rsidR="0011386F" w:rsidRPr="00734C7E" w:rsidRDefault="0011386F" w:rsidP="00734C7E">
      <w:pPr>
        <w:spacing w:line="240" w:lineRule="auto"/>
        <w:jc w:val="both"/>
        <w:rPr>
          <w:iCs/>
          <w:sz w:val="28"/>
          <w:szCs w:val="28"/>
        </w:rPr>
      </w:pPr>
      <w:r w:rsidRPr="00734C7E">
        <w:rPr>
          <w:iCs/>
          <w:sz w:val="28"/>
          <w:szCs w:val="28"/>
        </w:rPr>
        <w:t>Lisaks üleriigilistele toetusmeetmetele käivituvad ka uued meetmed, mis toetavad ettevõtlus</w:t>
      </w:r>
      <w:r w:rsidR="0034054D" w:rsidRPr="00734C7E">
        <w:rPr>
          <w:iCs/>
          <w:sz w:val="28"/>
          <w:szCs w:val="28"/>
        </w:rPr>
        <w:t>t</w:t>
      </w:r>
      <w:r w:rsidRPr="00734C7E">
        <w:rPr>
          <w:iCs/>
          <w:sz w:val="28"/>
          <w:szCs w:val="28"/>
        </w:rPr>
        <w:t xml:space="preserve"> teatud sihtregioonides</w:t>
      </w:r>
      <w:r w:rsidR="0034054D" w:rsidRPr="00734C7E">
        <w:rPr>
          <w:iCs/>
          <w:sz w:val="28"/>
          <w:szCs w:val="28"/>
        </w:rPr>
        <w:t xml:space="preserve">. </w:t>
      </w:r>
      <w:r w:rsidRPr="00734C7E">
        <w:rPr>
          <w:iCs/>
          <w:sz w:val="28"/>
          <w:szCs w:val="28"/>
        </w:rPr>
        <w:t>Ida-Virumaal</w:t>
      </w:r>
      <w:r w:rsidR="0034054D" w:rsidRPr="00734C7E">
        <w:rPr>
          <w:iCs/>
          <w:sz w:val="28"/>
          <w:szCs w:val="28"/>
        </w:rPr>
        <w:t xml:space="preserve">e suunatakse </w:t>
      </w:r>
      <w:r w:rsidRPr="00734C7E">
        <w:rPr>
          <w:iCs/>
          <w:sz w:val="28"/>
          <w:szCs w:val="28"/>
        </w:rPr>
        <w:t>Õiglase Ülemineku Fondist vahendeid sealsete tööstusinvesteeringute</w:t>
      </w:r>
      <w:r w:rsidR="0034054D" w:rsidRPr="00734C7E">
        <w:rPr>
          <w:iCs/>
          <w:sz w:val="28"/>
          <w:szCs w:val="28"/>
        </w:rPr>
        <w:t xml:space="preserve">le </w:t>
      </w:r>
      <w:r w:rsidRPr="00734C7E">
        <w:rPr>
          <w:iCs/>
          <w:sz w:val="28"/>
          <w:szCs w:val="28"/>
        </w:rPr>
        <w:t>153</w:t>
      </w:r>
      <w:r w:rsidR="0034054D" w:rsidRPr="00734C7E">
        <w:rPr>
          <w:iCs/>
          <w:sz w:val="28"/>
          <w:szCs w:val="28"/>
        </w:rPr>
        <w:t xml:space="preserve"> miljonit eurot </w:t>
      </w:r>
      <w:r w:rsidRPr="00734C7E">
        <w:rPr>
          <w:iCs/>
          <w:sz w:val="28"/>
          <w:szCs w:val="28"/>
        </w:rPr>
        <w:t xml:space="preserve">ja </w:t>
      </w:r>
      <w:r w:rsidR="0034054D" w:rsidRPr="00734C7E">
        <w:rPr>
          <w:iCs/>
          <w:sz w:val="28"/>
          <w:szCs w:val="28"/>
        </w:rPr>
        <w:t xml:space="preserve">väikeste ja keskmiste ettevõtete </w:t>
      </w:r>
      <w:r w:rsidRPr="00734C7E">
        <w:rPr>
          <w:iCs/>
          <w:sz w:val="28"/>
          <w:szCs w:val="28"/>
        </w:rPr>
        <w:t xml:space="preserve">toetamiseks </w:t>
      </w:r>
      <w:r w:rsidR="0034054D" w:rsidRPr="00734C7E">
        <w:rPr>
          <w:iCs/>
          <w:sz w:val="28"/>
          <w:szCs w:val="28"/>
        </w:rPr>
        <w:t xml:space="preserve">15 miljonit eurot, </w:t>
      </w:r>
      <w:r w:rsidRPr="00734C7E">
        <w:rPr>
          <w:iCs/>
          <w:sz w:val="28"/>
          <w:szCs w:val="28"/>
        </w:rPr>
        <w:t>ettevõtluse tugiteenuste</w:t>
      </w:r>
      <w:r w:rsidR="0034054D" w:rsidRPr="00734C7E">
        <w:rPr>
          <w:iCs/>
          <w:sz w:val="28"/>
          <w:szCs w:val="28"/>
        </w:rPr>
        <w:t xml:space="preserve">le on kavandatud </w:t>
      </w:r>
      <w:r w:rsidRPr="00734C7E">
        <w:rPr>
          <w:iCs/>
          <w:sz w:val="28"/>
          <w:szCs w:val="28"/>
        </w:rPr>
        <w:t>25</w:t>
      </w:r>
      <w:r w:rsidR="0034054D" w:rsidRPr="00734C7E">
        <w:rPr>
          <w:iCs/>
          <w:sz w:val="28"/>
          <w:szCs w:val="28"/>
        </w:rPr>
        <w:t xml:space="preserve"> miljonit eurot</w:t>
      </w:r>
      <w:r w:rsidRPr="00734C7E">
        <w:rPr>
          <w:iCs/>
          <w:sz w:val="28"/>
          <w:szCs w:val="28"/>
        </w:rPr>
        <w:t xml:space="preserve"> ja ettevõtete teadmusmahukuse arendamiseks </w:t>
      </w:r>
      <w:r w:rsidR="0034054D" w:rsidRPr="00734C7E">
        <w:rPr>
          <w:iCs/>
          <w:sz w:val="28"/>
          <w:szCs w:val="28"/>
        </w:rPr>
        <w:t>25 miljonit eurot</w:t>
      </w:r>
      <w:r w:rsidRPr="00734C7E">
        <w:rPr>
          <w:iCs/>
          <w:sz w:val="28"/>
          <w:szCs w:val="28"/>
        </w:rPr>
        <w:t xml:space="preserve">. Käivitub ka toetusmeede Kagu-Eesti väikeettevõtluse arendamiseks </w:t>
      </w:r>
      <w:r w:rsidR="0034054D" w:rsidRPr="00734C7E">
        <w:rPr>
          <w:iCs/>
          <w:sz w:val="28"/>
          <w:szCs w:val="28"/>
        </w:rPr>
        <w:t xml:space="preserve">mahus </w:t>
      </w:r>
      <w:r w:rsidRPr="00734C7E">
        <w:rPr>
          <w:iCs/>
          <w:sz w:val="28"/>
          <w:szCs w:val="28"/>
        </w:rPr>
        <w:t>7,5</w:t>
      </w:r>
      <w:r w:rsidR="002A5877" w:rsidRPr="00734C7E">
        <w:rPr>
          <w:iCs/>
          <w:sz w:val="28"/>
          <w:szCs w:val="28"/>
        </w:rPr>
        <w:t xml:space="preserve"> miljonit eurot</w:t>
      </w:r>
      <w:r w:rsidRPr="00734C7E">
        <w:rPr>
          <w:iCs/>
          <w:sz w:val="28"/>
          <w:szCs w:val="28"/>
        </w:rPr>
        <w:t>.</w:t>
      </w:r>
    </w:p>
    <w:p w14:paraId="65FCE106" w14:textId="20E1FEDD" w:rsidR="0011386F" w:rsidRPr="00734C7E" w:rsidRDefault="0034054D" w:rsidP="00734C7E">
      <w:pPr>
        <w:spacing w:line="240" w:lineRule="auto"/>
        <w:jc w:val="both"/>
        <w:rPr>
          <w:iCs/>
          <w:sz w:val="28"/>
          <w:szCs w:val="28"/>
        </w:rPr>
      </w:pPr>
      <w:r w:rsidRPr="00734C7E">
        <w:rPr>
          <w:iCs/>
          <w:sz w:val="28"/>
          <w:szCs w:val="28"/>
        </w:rPr>
        <w:t>Paranevad ka l</w:t>
      </w:r>
      <w:r w:rsidR="0011386F" w:rsidRPr="00734C7E">
        <w:rPr>
          <w:iCs/>
          <w:sz w:val="28"/>
          <w:szCs w:val="28"/>
        </w:rPr>
        <w:t>iikumisvõimalused ja ühendus</w:t>
      </w:r>
      <w:r w:rsidRPr="00734C7E">
        <w:rPr>
          <w:iCs/>
          <w:sz w:val="28"/>
          <w:szCs w:val="28"/>
        </w:rPr>
        <w:t xml:space="preserve">ed. </w:t>
      </w:r>
      <w:r w:rsidR="0011386F" w:rsidRPr="00734C7E">
        <w:rPr>
          <w:iCs/>
          <w:sz w:val="28"/>
          <w:szCs w:val="28"/>
        </w:rPr>
        <w:t>Järgnevatel aastatel suunab riik mahukad investeeringud raudteeühenduste parandamiseks. Lisaks väga mahukale Rail Balticu arendusele investeeritakse 342</w:t>
      </w:r>
      <w:r w:rsidR="002A5877" w:rsidRPr="00734C7E">
        <w:rPr>
          <w:iCs/>
          <w:sz w:val="28"/>
          <w:szCs w:val="28"/>
        </w:rPr>
        <w:t xml:space="preserve"> miljonit eurot </w:t>
      </w:r>
      <w:r w:rsidR="0011386F" w:rsidRPr="00734C7E">
        <w:rPr>
          <w:iCs/>
          <w:sz w:val="28"/>
          <w:szCs w:val="28"/>
        </w:rPr>
        <w:t>Tallinn-Tartu ja Tallinn-Narva suundadel kiiruste tõstmiseks ja raudtee elektrifitseerimiseks, samuti Tallinn-Viljandi raudtee rekonstrueerimiseks. 150</w:t>
      </w:r>
      <w:r w:rsidRPr="00734C7E">
        <w:rPr>
          <w:iCs/>
          <w:sz w:val="28"/>
          <w:szCs w:val="28"/>
        </w:rPr>
        <w:t xml:space="preserve"> miljonit eurot</w:t>
      </w:r>
      <w:r w:rsidR="0011386F" w:rsidRPr="00734C7E">
        <w:rPr>
          <w:iCs/>
          <w:sz w:val="28"/>
          <w:szCs w:val="28"/>
        </w:rPr>
        <w:t xml:space="preserve"> investeeritakse CO2 kvoodimüügituludest täiendavate elektrirongide soetuseks.</w:t>
      </w:r>
    </w:p>
    <w:p w14:paraId="31519E83" w14:textId="270F7026" w:rsidR="0011386F" w:rsidRPr="00734C7E" w:rsidRDefault="0011386F" w:rsidP="00734C7E">
      <w:pPr>
        <w:spacing w:line="240" w:lineRule="auto"/>
        <w:jc w:val="both"/>
        <w:rPr>
          <w:iCs/>
          <w:sz w:val="28"/>
          <w:szCs w:val="28"/>
        </w:rPr>
      </w:pPr>
      <w:r w:rsidRPr="00734C7E">
        <w:rPr>
          <w:iCs/>
          <w:sz w:val="28"/>
          <w:szCs w:val="28"/>
        </w:rPr>
        <w:t>Vähese heitega ühistranspordi arendamiseks investeeritakse ca 62</w:t>
      </w:r>
      <w:r w:rsidR="0034054D" w:rsidRPr="00734C7E">
        <w:rPr>
          <w:iCs/>
          <w:sz w:val="28"/>
          <w:szCs w:val="28"/>
        </w:rPr>
        <w:t xml:space="preserve"> miljonit eurot </w:t>
      </w:r>
      <w:r w:rsidRPr="00734C7E">
        <w:rPr>
          <w:iCs/>
          <w:sz w:val="28"/>
          <w:szCs w:val="28"/>
        </w:rPr>
        <w:t>CO2 kvoodimüügituludest. Säästvate liikumisviiside arendamiseks suuremates linnades investeeritakse kokku 36m</w:t>
      </w:r>
      <w:r w:rsidR="0034054D" w:rsidRPr="00734C7E">
        <w:rPr>
          <w:iCs/>
          <w:sz w:val="28"/>
          <w:szCs w:val="28"/>
        </w:rPr>
        <w:t xml:space="preserve"> miljonit eurot </w:t>
      </w:r>
      <w:r w:rsidRPr="00734C7E">
        <w:rPr>
          <w:iCs/>
          <w:sz w:val="28"/>
          <w:szCs w:val="28"/>
        </w:rPr>
        <w:t>CO2 kvoodimüügituludest ja 96</w:t>
      </w:r>
      <w:r w:rsidR="0034054D" w:rsidRPr="00734C7E">
        <w:rPr>
          <w:iCs/>
          <w:sz w:val="28"/>
          <w:szCs w:val="28"/>
        </w:rPr>
        <w:t xml:space="preserve"> miljonit eurot </w:t>
      </w:r>
      <w:r w:rsidRPr="00734C7E">
        <w:rPr>
          <w:iCs/>
          <w:sz w:val="28"/>
          <w:szCs w:val="28"/>
        </w:rPr>
        <w:t>E</w:t>
      </w:r>
      <w:r w:rsidR="0034054D" w:rsidRPr="00734C7E">
        <w:rPr>
          <w:iCs/>
          <w:sz w:val="28"/>
          <w:szCs w:val="28"/>
        </w:rPr>
        <w:t>uroopa regionaalarengu fond</w:t>
      </w:r>
      <w:r w:rsidR="00C15D4C" w:rsidRPr="00734C7E">
        <w:rPr>
          <w:iCs/>
          <w:sz w:val="28"/>
          <w:szCs w:val="28"/>
        </w:rPr>
        <w:t>ist</w:t>
      </w:r>
      <w:r w:rsidRPr="00734C7E">
        <w:rPr>
          <w:iCs/>
          <w:sz w:val="28"/>
          <w:szCs w:val="28"/>
        </w:rPr>
        <w:t>. Jalg- ja jalgrattateede arendamiseks väljaspool suuremaid keskusi investeeritakse kokku 25</w:t>
      </w:r>
      <w:r w:rsidR="00C15D4C" w:rsidRPr="00734C7E">
        <w:rPr>
          <w:iCs/>
          <w:sz w:val="28"/>
          <w:szCs w:val="28"/>
        </w:rPr>
        <w:t xml:space="preserve"> miljonit eurot</w:t>
      </w:r>
      <w:r w:rsidRPr="00734C7E">
        <w:rPr>
          <w:iCs/>
          <w:sz w:val="28"/>
          <w:szCs w:val="28"/>
        </w:rPr>
        <w:t>.</w:t>
      </w:r>
    </w:p>
    <w:p w14:paraId="24CA4BEE" w14:textId="364D8018" w:rsidR="0011386F" w:rsidRPr="00734C7E" w:rsidRDefault="0011386F" w:rsidP="00734C7E">
      <w:pPr>
        <w:spacing w:line="240" w:lineRule="auto"/>
        <w:jc w:val="both"/>
        <w:rPr>
          <w:iCs/>
          <w:sz w:val="28"/>
          <w:szCs w:val="28"/>
        </w:rPr>
      </w:pPr>
      <w:r w:rsidRPr="00734C7E">
        <w:rPr>
          <w:iCs/>
          <w:sz w:val="28"/>
          <w:szCs w:val="28"/>
        </w:rPr>
        <w:t>Keskuste vaheliste maanteeühenduste arendamisel on kavas teha mahukamaid investeeringuid Via Baltica ja Tallinn-Tartu maanteedel.</w:t>
      </w:r>
      <w:r w:rsidR="00C15D4C" w:rsidRPr="00734C7E">
        <w:rPr>
          <w:iCs/>
          <w:sz w:val="28"/>
          <w:szCs w:val="28"/>
        </w:rPr>
        <w:t xml:space="preserve"> </w:t>
      </w:r>
      <w:r w:rsidRPr="00734C7E">
        <w:rPr>
          <w:iCs/>
          <w:sz w:val="28"/>
          <w:szCs w:val="28"/>
        </w:rPr>
        <w:t xml:space="preserve">Riik jätkab toetuste </w:t>
      </w:r>
      <w:r w:rsidRPr="00734C7E">
        <w:rPr>
          <w:iCs/>
          <w:sz w:val="28"/>
          <w:szCs w:val="28"/>
        </w:rPr>
        <w:lastRenderedPageBreak/>
        <w:t xml:space="preserve">suunamist ka lairiba arendustele. Rahastatakse nii 5G võrkude arendamist kui ka nn viimase miili arendusi väljaspool suuremaid linnasid. Viimase miili arendamiseks antakse sideettevõtjatele toetusi kokku </w:t>
      </w:r>
      <w:r w:rsidR="00C15D4C" w:rsidRPr="00734C7E">
        <w:rPr>
          <w:iCs/>
          <w:sz w:val="28"/>
          <w:szCs w:val="28"/>
        </w:rPr>
        <w:t>ligi 55 miljonit eurot</w:t>
      </w:r>
      <w:r w:rsidRPr="00734C7E">
        <w:rPr>
          <w:iCs/>
          <w:sz w:val="28"/>
          <w:szCs w:val="28"/>
        </w:rPr>
        <w:t xml:space="preserve">. 2023. aastal on </w:t>
      </w:r>
      <w:proofErr w:type="spellStart"/>
      <w:r w:rsidRPr="00734C7E">
        <w:rPr>
          <w:iCs/>
          <w:sz w:val="28"/>
          <w:szCs w:val="28"/>
        </w:rPr>
        <w:t>MKMil</w:t>
      </w:r>
      <w:proofErr w:type="spellEnd"/>
      <w:r w:rsidRPr="00734C7E">
        <w:rPr>
          <w:iCs/>
          <w:sz w:val="28"/>
          <w:szCs w:val="28"/>
        </w:rPr>
        <w:t xml:space="preserve"> kavas avada ka pilootmeede kogukonnapõhisteks viimase miili arendusteks</w:t>
      </w:r>
      <w:r w:rsidR="00C15D4C" w:rsidRPr="00734C7E">
        <w:rPr>
          <w:iCs/>
          <w:sz w:val="28"/>
          <w:szCs w:val="28"/>
        </w:rPr>
        <w:t>. Selle eelarve maht on 1 miljon eurot.</w:t>
      </w:r>
    </w:p>
    <w:p w14:paraId="5B2070B8" w14:textId="202DDA4E" w:rsidR="0011386F" w:rsidRPr="00734C7E" w:rsidRDefault="00C15D4C" w:rsidP="00734C7E">
      <w:pPr>
        <w:spacing w:line="240" w:lineRule="auto"/>
        <w:jc w:val="both"/>
        <w:rPr>
          <w:iCs/>
          <w:sz w:val="28"/>
          <w:szCs w:val="28"/>
        </w:rPr>
      </w:pPr>
      <w:r w:rsidRPr="00734C7E">
        <w:rPr>
          <w:iCs/>
          <w:sz w:val="28"/>
          <w:szCs w:val="28"/>
        </w:rPr>
        <w:t xml:space="preserve">Kuna üks madala elatustaseme põhjuseid on suured kulud madala energiatõhususega </w:t>
      </w:r>
      <w:r w:rsidR="002A5877" w:rsidRPr="00734C7E">
        <w:rPr>
          <w:iCs/>
          <w:sz w:val="28"/>
          <w:szCs w:val="28"/>
        </w:rPr>
        <w:t xml:space="preserve">majade </w:t>
      </w:r>
      <w:r w:rsidRPr="00734C7E">
        <w:rPr>
          <w:iCs/>
          <w:sz w:val="28"/>
          <w:szCs w:val="28"/>
        </w:rPr>
        <w:t xml:space="preserve"> kütmisele, suunab riik j</w:t>
      </w:r>
      <w:r w:rsidR="0011386F" w:rsidRPr="00734C7E">
        <w:rPr>
          <w:iCs/>
          <w:sz w:val="28"/>
          <w:szCs w:val="28"/>
        </w:rPr>
        <w:t>ärgnevatel aastatel suunab riik mahukaid toetusvahendeid hoonete energiatõhusus</w:t>
      </w:r>
      <w:r w:rsidRPr="00734C7E">
        <w:rPr>
          <w:iCs/>
          <w:sz w:val="28"/>
          <w:szCs w:val="28"/>
        </w:rPr>
        <w:t>se</w:t>
      </w:r>
      <w:r w:rsidR="0011386F" w:rsidRPr="00734C7E">
        <w:rPr>
          <w:iCs/>
          <w:sz w:val="28"/>
          <w:szCs w:val="28"/>
        </w:rPr>
        <w:t>. MKM</w:t>
      </w:r>
      <w:r w:rsidRPr="00734C7E">
        <w:rPr>
          <w:iCs/>
          <w:sz w:val="28"/>
          <w:szCs w:val="28"/>
        </w:rPr>
        <w:t xml:space="preserve"> ja </w:t>
      </w:r>
      <w:proofErr w:type="spellStart"/>
      <w:r w:rsidR="0011386F" w:rsidRPr="00734C7E">
        <w:rPr>
          <w:iCs/>
          <w:sz w:val="28"/>
          <w:szCs w:val="28"/>
        </w:rPr>
        <w:t>Kredex</w:t>
      </w:r>
      <w:proofErr w:type="spellEnd"/>
      <w:r w:rsidR="0011386F" w:rsidRPr="00734C7E">
        <w:rPr>
          <w:iCs/>
          <w:sz w:val="28"/>
          <w:szCs w:val="28"/>
        </w:rPr>
        <w:t xml:space="preserve"> toetavad korterelamute rekonstrueerimist kokku </w:t>
      </w:r>
      <w:r w:rsidRPr="00734C7E">
        <w:rPr>
          <w:iCs/>
          <w:sz w:val="28"/>
          <w:szCs w:val="28"/>
        </w:rPr>
        <w:t>üle 400 miljoniga</w:t>
      </w:r>
      <w:r w:rsidR="0011386F" w:rsidRPr="00734C7E">
        <w:rPr>
          <w:iCs/>
          <w:sz w:val="28"/>
          <w:szCs w:val="28"/>
        </w:rPr>
        <w:t>. Sellest toetusmeetmest on vähemarenenud piirkondadel võimalus toetust saada soodsamatel tingimustel kui suuremates linnades. Lisaks toetatakse ka väikeelamute rekonstrueerimist 12</w:t>
      </w:r>
      <w:r w:rsidRPr="00734C7E">
        <w:rPr>
          <w:iCs/>
          <w:sz w:val="28"/>
          <w:szCs w:val="28"/>
        </w:rPr>
        <w:t xml:space="preserve"> miljoni euro </w:t>
      </w:r>
      <w:r w:rsidR="0011386F" w:rsidRPr="00734C7E">
        <w:rPr>
          <w:iCs/>
          <w:sz w:val="28"/>
          <w:szCs w:val="28"/>
        </w:rPr>
        <w:t xml:space="preserve">ulatuses. </w:t>
      </w:r>
      <w:r w:rsidRPr="00734C7E">
        <w:rPr>
          <w:iCs/>
          <w:sz w:val="28"/>
          <w:szCs w:val="28"/>
        </w:rPr>
        <w:t xml:space="preserve">Samuti toetame </w:t>
      </w:r>
      <w:r w:rsidR="0011386F" w:rsidRPr="00734C7E">
        <w:rPr>
          <w:iCs/>
          <w:sz w:val="28"/>
          <w:szCs w:val="28"/>
        </w:rPr>
        <w:t>KOV hoonete energiatõhusust CO2 kvoodituludest enam kui 100</w:t>
      </w:r>
      <w:r w:rsidRPr="00734C7E">
        <w:rPr>
          <w:iCs/>
          <w:sz w:val="28"/>
          <w:szCs w:val="28"/>
        </w:rPr>
        <w:t xml:space="preserve"> miljoni euro </w:t>
      </w:r>
      <w:r w:rsidR="0011386F" w:rsidRPr="00734C7E">
        <w:rPr>
          <w:iCs/>
          <w:sz w:val="28"/>
          <w:szCs w:val="28"/>
        </w:rPr>
        <w:t xml:space="preserve">ulatuses. </w:t>
      </w:r>
      <w:r w:rsidRPr="00734C7E">
        <w:rPr>
          <w:iCs/>
          <w:sz w:val="28"/>
          <w:szCs w:val="28"/>
        </w:rPr>
        <w:t xml:space="preserve">See puudutab nii olemasolevate hoonete rekonstrueerimist kui uute liginullenergia hoonete ehitamist </w:t>
      </w:r>
      <w:r w:rsidR="0011386F" w:rsidRPr="00734C7E">
        <w:rPr>
          <w:iCs/>
          <w:sz w:val="28"/>
          <w:szCs w:val="28"/>
        </w:rPr>
        <w:t xml:space="preserve">Ka selles meetmes on väiksema finantssuutlikkusega </w:t>
      </w:r>
      <w:proofErr w:type="spellStart"/>
      <w:r w:rsidR="0011386F" w:rsidRPr="00734C7E">
        <w:rPr>
          <w:iCs/>
          <w:sz w:val="28"/>
          <w:szCs w:val="28"/>
        </w:rPr>
        <w:t>KOVdel</w:t>
      </w:r>
      <w:proofErr w:type="spellEnd"/>
      <w:r w:rsidR="0011386F" w:rsidRPr="00734C7E">
        <w:rPr>
          <w:iCs/>
          <w:sz w:val="28"/>
          <w:szCs w:val="28"/>
        </w:rPr>
        <w:t xml:space="preserve"> soodsamad taotlemistingimused.</w:t>
      </w:r>
    </w:p>
    <w:p w14:paraId="069131F7" w14:textId="75377EFD" w:rsidR="0011386F" w:rsidRPr="00734C7E" w:rsidRDefault="0011386F" w:rsidP="00734C7E">
      <w:pPr>
        <w:spacing w:line="240" w:lineRule="auto"/>
        <w:jc w:val="both"/>
        <w:rPr>
          <w:iCs/>
          <w:sz w:val="28"/>
          <w:szCs w:val="28"/>
        </w:rPr>
      </w:pPr>
      <w:r w:rsidRPr="00734C7E">
        <w:rPr>
          <w:iCs/>
          <w:sz w:val="28"/>
          <w:szCs w:val="28"/>
        </w:rPr>
        <w:t>Erinevate kohalike avalike teenuste ja avaliku linnaruumi arendamiseks väljaspool kaht suuremat linnapiirkonda suuna</w:t>
      </w:r>
      <w:r w:rsidR="00C15D4C" w:rsidRPr="00734C7E">
        <w:rPr>
          <w:iCs/>
          <w:sz w:val="28"/>
          <w:szCs w:val="28"/>
        </w:rPr>
        <w:t xml:space="preserve">me </w:t>
      </w:r>
      <w:r w:rsidRPr="00734C7E">
        <w:rPr>
          <w:iCs/>
          <w:sz w:val="28"/>
          <w:szCs w:val="28"/>
        </w:rPr>
        <w:t>kokku 93,5</w:t>
      </w:r>
      <w:r w:rsidR="00C15D4C" w:rsidRPr="00734C7E">
        <w:rPr>
          <w:iCs/>
          <w:sz w:val="28"/>
          <w:szCs w:val="28"/>
        </w:rPr>
        <w:t xml:space="preserve"> miljonit eurot Euroopa regionaalarengu fondi </w:t>
      </w:r>
      <w:r w:rsidRPr="00734C7E">
        <w:rPr>
          <w:iCs/>
          <w:sz w:val="28"/>
          <w:szCs w:val="28"/>
        </w:rPr>
        <w:t>vahendeid. Suuremates linnapiirkondades toeta</w:t>
      </w:r>
      <w:r w:rsidR="00C15D4C" w:rsidRPr="00734C7E">
        <w:rPr>
          <w:iCs/>
          <w:sz w:val="28"/>
          <w:szCs w:val="28"/>
        </w:rPr>
        <w:t xml:space="preserve">me </w:t>
      </w:r>
      <w:r w:rsidRPr="00734C7E">
        <w:rPr>
          <w:iCs/>
          <w:sz w:val="28"/>
          <w:szCs w:val="28"/>
        </w:rPr>
        <w:t>nutika linna lahendusi 12</w:t>
      </w:r>
      <w:r w:rsidR="00C15D4C" w:rsidRPr="00734C7E">
        <w:rPr>
          <w:iCs/>
          <w:sz w:val="28"/>
          <w:szCs w:val="28"/>
        </w:rPr>
        <w:t xml:space="preserve"> miljoni euroga</w:t>
      </w:r>
      <w:r w:rsidRPr="00734C7E">
        <w:rPr>
          <w:iCs/>
          <w:sz w:val="28"/>
          <w:szCs w:val="28"/>
        </w:rPr>
        <w:t>. Lisaks sellele toeta</w:t>
      </w:r>
      <w:r w:rsidR="00C15D4C" w:rsidRPr="00734C7E">
        <w:rPr>
          <w:iCs/>
          <w:sz w:val="28"/>
          <w:szCs w:val="28"/>
        </w:rPr>
        <w:t xml:space="preserve">me omavalitsuste </w:t>
      </w:r>
      <w:r w:rsidRPr="00734C7E">
        <w:rPr>
          <w:iCs/>
          <w:sz w:val="28"/>
          <w:szCs w:val="28"/>
        </w:rPr>
        <w:t>arendussuutlikkuse kasvatamist 3,5m</w:t>
      </w:r>
      <w:r w:rsidR="00C15D4C" w:rsidRPr="00734C7E">
        <w:rPr>
          <w:iCs/>
          <w:sz w:val="28"/>
          <w:szCs w:val="28"/>
        </w:rPr>
        <w:t xml:space="preserve">iljoni euroga </w:t>
      </w:r>
      <w:r w:rsidRPr="00734C7E">
        <w:rPr>
          <w:iCs/>
          <w:sz w:val="28"/>
          <w:szCs w:val="28"/>
        </w:rPr>
        <w:t xml:space="preserve">ning Ida-Virumaa </w:t>
      </w:r>
      <w:r w:rsidR="00C15D4C" w:rsidRPr="00734C7E">
        <w:rPr>
          <w:iCs/>
          <w:sz w:val="28"/>
          <w:szCs w:val="28"/>
        </w:rPr>
        <w:t>omavalitsusi</w:t>
      </w:r>
      <w:r w:rsidRPr="00734C7E">
        <w:rPr>
          <w:iCs/>
          <w:sz w:val="28"/>
          <w:szCs w:val="28"/>
        </w:rPr>
        <w:t xml:space="preserve"> õiglas</w:t>
      </w:r>
      <w:r w:rsidR="00C15D4C" w:rsidRPr="00734C7E">
        <w:rPr>
          <w:iCs/>
          <w:sz w:val="28"/>
          <w:szCs w:val="28"/>
        </w:rPr>
        <w:t>t</w:t>
      </w:r>
      <w:r w:rsidRPr="00734C7E">
        <w:rPr>
          <w:iCs/>
          <w:sz w:val="28"/>
          <w:szCs w:val="28"/>
        </w:rPr>
        <w:t xml:space="preserve"> üleminekut toetavate investeeringute tegemisel 15</w:t>
      </w:r>
      <w:r w:rsidR="00C15D4C" w:rsidRPr="00734C7E">
        <w:rPr>
          <w:iCs/>
          <w:sz w:val="28"/>
          <w:szCs w:val="28"/>
        </w:rPr>
        <w:t xml:space="preserve"> miljoni euroga. </w:t>
      </w:r>
      <w:r w:rsidRPr="00734C7E">
        <w:rPr>
          <w:iCs/>
          <w:sz w:val="28"/>
          <w:szCs w:val="28"/>
        </w:rPr>
        <w:t xml:space="preserve">Järgnevatel aastatel avanevad </w:t>
      </w:r>
      <w:r w:rsidR="00C15D4C" w:rsidRPr="00734C7E">
        <w:rPr>
          <w:iCs/>
          <w:sz w:val="28"/>
          <w:szCs w:val="28"/>
        </w:rPr>
        <w:t xml:space="preserve">omavalitsustele ka uued </w:t>
      </w:r>
      <w:r w:rsidRPr="00734C7E">
        <w:rPr>
          <w:iCs/>
          <w:sz w:val="28"/>
          <w:szCs w:val="28"/>
        </w:rPr>
        <w:t>toetusvõimalused hariduse, sotsiaalteenuste</w:t>
      </w:r>
      <w:r w:rsidR="00C15D4C" w:rsidRPr="00734C7E">
        <w:rPr>
          <w:iCs/>
          <w:sz w:val="28"/>
          <w:szCs w:val="28"/>
        </w:rPr>
        <w:t xml:space="preserve">, aga ka </w:t>
      </w:r>
      <w:r w:rsidRPr="00734C7E">
        <w:rPr>
          <w:iCs/>
          <w:sz w:val="28"/>
          <w:szCs w:val="28"/>
        </w:rPr>
        <w:t>rohepöörde ja ringmajanduse valdkondades.</w:t>
      </w:r>
    </w:p>
    <w:p w14:paraId="0B369285" w14:textId="04E9ACE5" w:rsidR="0011386F" w:rsidRPr="00734C7E" w:rsidRDefault="0011386F" w:rsidP="00734C7E">
      <w:pPr>
        <w:spacing w:line="240" w:lineRule="auto"/>
        <w:jc w:val="both"/>
        <w:rPr>
          <w:iCs/>
          <w:sz w:val="28"/>
          <w:szCs w:val="28"/>
        </w:rPr>
      </w:pPr>
      <w:r w:rsidRPr="00734C7E">
        <w:rPr>
          <w:iCs/>
          <w:sz w:val="28"/>
          <w:szCs w:val="28"/>
        </w:rPr>
        <w:t>Inimeste maal elamise toetamiseks jätka</w:t>
      </w:r>
      <w:r w:rsidR="00C15D4C" w:rsidRPr="00734C7E">
        <w:rPr>
          <w:iCs/>
          <w:sz w:val="28"/>
          <w:szCs w:val="28"/>
        </w:rPr>
        <w:t xml:space="preserve">me ka </w:t>
      </w:r>
      <w:proofErr w:type="spellStart"/>
      <w:r w:rsidRPr="00734C7E">
        <w:rPr>
          <w:iCs/>
          <w:sz w:val="28"/>
          <w:szCs w:val="28"/>
        </w:rPr>
        <w:t>hajaasustuse</w:t>
      </w:r>
      <w:proofErr w:type="spellEnd"/>
      <w:r w:rsidRPr="00734C7E">
        <w:rPr>
          <w:iCs/>
          <w:sz w:val="28"/>
          <w:szCs w:val="28"/>
        </w:rPr>
        <w:t xml:space="preserve"> programmi toetustega leibkondade elamistingimuste parandamisel. Sel aastal käivitusid maale elama asumiseks ja kodu soetamiseks täiendavad laenu ja käendusmeetmed MES ja </w:t>
      </w:r>
      <w:proofErr w:type="spellStart"/>
      <w:r w:rsidRPr="00734C7E">
        <w:rPr>
          <w:iCs/>
          <w:sz w:val="28"/>
          <w:szCs w:val="28"/>
        </w:rPr>
        <w:t>Kredexi</w:t>
      </w:r>
      <w:proofErr w:type="spellEnd"/>
      <w:r w:rsidRPr="00734C7E">
        <w:rPr>
          <w:iCs/>
          <w:sz w:val="28"/>
          <w:szCs w:val="28"/>
        </w:rPr>
        <w:t xml:space="preserve"> poolt. MES </w:t>
      </w:r>
      <w:r w:rsidR="00C15D4C" w:rsidRPr="00734C7E">
        <w:rPr>
          <w:iCs/>
          <w:sz w:val="28"/>
          <w:szCs w:val="28"/>
        </w:rPr>
        <w:t>k</w:t>
      </w:r>
      <w:r w:rsidRPr="00734C7E">
        <w:rPr>
          <w:iCs/>
          <w:sz w:val="28"/>
          <w:szCs w:val="28"/>
        </w:rPr>
        <w:t>aaslaenu võimalused laienevad järgmisel aastal üle-eestiliseks</w:t>
      </w:r>
      <w:r w:rsidR="00C15D4C" w:rsidRPr="00734C7E">
        <w:rPr>
          <w:iCs/>
          <w:sz w:val="28"/>
          <w:szCs w:val="28"/>
        </w:rPr>
        <w:t xml:space="preserve">, siiani </w:t>
      </w:r>
      <w:r w:rsidRPr="00734C7E">
        <w:rPr>
          <w:iCs/>
          <w:sz w:val="28"/>
          <w:szCs w:val="28"/>
        </w:rPr>
        <w:t>olid need kättesaadavad vaid Kagu-Eestis ja Ida-Virumaal</w:t>
      </w:r>
      <w:r w:rsidR="00C15D4C" w:rsidRPr="00734C7E">
        <w:rPr>
          <w:iCs/>
          <w:sz w:val="28"/>
          <w:szCs w:val="28"/>
        </w:rPr>
        <w:t>.</w:t>
      </w:r>
    </w:p>
    <w:p w14:paraId="139A9354" w14:textId="11874E7A" w:rsidR="00C15D4C" w:rsidRPr="00734C7E" w:rsidRDefault="00C15D4C" w:rsidP="00734C7E">
      <w:pPr>
        <w:spacing w:line="240" w:lineRule="auto"/>
        <w:jc w:val="both"/>
        <w:rPr>
          <w:iCs/>
          <w:sz w:val="28"/>
          <w:szCs w:val="28"/>
        </w:rPr>
      </w:pPr>
      <w:r w:rsidRPr="00734C7E">
        <w:rPr>
          <w:iCs/>
          <w:sz w:val="28"/>
          <w:szCs w:val="28"/>
        </w:rPr>
        <w:t xml:space="preserve">Eelnev oli vaid osa riigi tegevustest, mis on suunatud regionaalsete erisuste vähendamiseks ja regioonide arengupotentsiaali paremaks ärakasutamiseks. </w:t>
      </w:r>
      <w:r w:rsidR="003960C5" w:rsidRPr="00734C7E">
        <w:rPr>
          <w:iCs/>
          <w:sz w:val="28"/>
          <w:szCs w:val="28"/>
        </w:rPr>
        <w:t>Riik koos Euroopa Liidu</w:t>
      </w:r>
      <w:r w:rsidR="006C2B59" w:rsidRPr="00734C7E">
        <w:rPr>
          <w:iCs/>
          <w:sz w:val="28"/>
          <w:szCs w:val="28"/>
        </w:rPr>
        <w:t xml:space="preserve"> ja omavalitsusteg</w:t>
      </w:r>
      <w:r w:rsidR="003960C5" w:rsidRPr="00734C7E">
        <w:rPr>
          <w:iCs/>
          <w:sz w:val="28"/>
          <w:szCs w:val="28"/>
        </w:rPr>
        <w:t>a tegutseb siin aktiivselt ja ma väga loodan</w:t>
      </w:r>
      <w:r w:rsidR="002A5877" w:rsidRPr="00734C7E">
        <w:rPr>
          <w:iCs/>
          <w:sz w:val="28"/>
          <w:szCs w:val="28"/>
        </w:rPr>
        <w:t>,</w:t>
      </w:r>
      <w:r w:rsidR="003960C5" w:rsidRPr="00734C7E">
        <w:rPr>
          <w:iCs/>
          <w:sz w:val="28"/>
          <w:szCs w:val="28"/>
        </w:rPr>
        <w:t xml:space="preserve"> et </w:t>
      </w:r>
      <w:r w:rsidR="006C2B59" w:rsidRPr="00734C7E">
        <w:rPr>
          <w:iCs/>
          <w:sz w:val="28"/>
          <w:szCs w:val="28"/>
        </w:rPr>
        <w:t xml:space="preserve">paremas koostöös ja rohkem kohapealset initsiatiivi ja kokkuleppeid austades </w:t>
      </w:r>
      <w:r w:rsidR="003960C5" w:rsidRPr="00734C7E">
        <w:rPr>
          <w:iCs/>
          <w:sz w:val="28"/>
          <w:szCs w:val="28"/>
        </w:rPr>
        <w:t>ka üha tulemuslikumalt.</w:t>
      </w:r>
    </w:p>
    <w:p w14:paraId="7B928306" w14:textId="3C2A5D79" w:rsidR="003960C5" w:rsidRPr="00734C7E" w:rsidRDefault="003960C5" w:rsidP="00734C7E">
      <w:pPr>
        <w:spacing w:line="240" w:lineRule="auto"/>
        <w:jc w:val="both"/>
        <w:rPr>
          <w:iCs/>
          <w:sz w:val="28"/>
          <w:szCs w:val="28"/>
        </w:rPr>
      </w:pPr>
      <w:r w:rsidRPr="00734C7E">
        <w:rPr>
          <w:iCs/>
          <w:sz w:val="28"/>
          <w:szCs w:val="28"/>
        </w:rPr>
        <w:t>Ma tänan teid ja soovin teile huvitavat ja sisukat kollokviumi</w:t>
      </w:r>
      <w:r w:rsidR="00734C7E">
        <w:rPr>
          <w:iCs/>
          <w:sz w:val="28"/>
          <w:szCs w:val="28"/>
        </w:rPr>
        <w:t>!</w:t>
      </w:r>
    </w:p>
    <w:p w14:paraId="6CD9729E" w14:textId="77777777" w:rsidR="0011386F" w:rsidRPr="00734C7E" w:rsidRDefault="0011386F" w:rsidP="00734C7E">
      <w:pPr>
        <w:spacing w:line="240" w:lineRule="auto"/>
        <w:jc w:val="both"/>
        <w:rPr>
          <w:iCs/>
          <w:sz w:val="28"/>
          <w:szCs w:val="28"/>
        </w:rPr>
      </w:pPr>
    </w:p>
    <w:p w14:paraId="1D5E58C7" w14:textId="42FE0CA3" w:rsidR="00EC4DEE" w:rsidRPr="00734C7E" w:rsidRDefault="00BA7440" w:rsidP="00734C7E">
      <w:pPr>
        <w:spacing w:after="120" w:line="240" w:lineRule="auto"/>
        <w:jc w:val="both"/>
        <w:rPr>
          <w:iCs/>
          <w:sz w:val="28"/>
          <w:szCs w:val="28"/>
        </w:rPr>
      </w:pPr>
      <w:r w:rsidRPr="00734C7E">
        <w:rPr>
          <w:iCs/>
          <w:sz w:val="28"/>
          <w:szCs w:val="28"/>
        </w:rPr>
        <w:lastRenderedPageBreak/>
        <w:t>Lisataust</w:t>
      </w:r>
      <w:r w:rsidR="009B7C15" w:rsidRPr="00734C7E">
        <w:rPr>
          <w:iCs/>
          <w:sz w:val="28"/>
          <w:szCs w:val="28"/>
        </w:rPr>
        <w:t>aks</w:t>
      </w:r>
      <w:r w:rsidR="00EC4DEE" w:rsidRPr="00734C7E">
        <w:rPr>
          <w:iCs/>
          <w:sz w:val="28"/>
          <w:szCs w:val="28"/>
        </w:rPr>
        <w:t xml:space="preserve"> </w:t>
      </w:r>
      <w:r w:rsidR="003771C7" w:rsidRPr="00734C7E">
        <w:rPr>
          <w:iCs/>
          <w:sz w:val="28"/>
          <w:szCs w:val="28"/>
        </w:rPr>
        <w:t>p</w:t>
      </w:r>
      <w:r w:rsidR="00EC4DEE" w:rsidRPr="00734C7E">
        <w:rPr>
          <w:iCs/>
          <w:sz w:val="28"/>
          <w:szCs w:val="28"/>
        </w:rPr>
        <w:t xml:space="preserve">iirkondlike erinevuste koondpilt </w:t>
      </w:r>
      <w:proofErr w:type="spellStart"/>
      <w:r w:rsidRPr="00734C7E">
        <w:rPr>
          <w:iCs/>
          <w:sz w:val="28"/>
          <w:szCs w:val="28"/>
        </w:rPr>
        <w:t>RETK-i</w:t>
      </w:r>
      <w:proofErr w:type="spellEnd"/>
      <w:r w:rsidRPr="00734C7E">
        <w:rPr>
          <w:iCs/>
          <w:sz w:val="28"/>
          <w:szCs w:val="28"/>
        </w:rPr>
        <w:t xml:space="preserve"> </w:t>
      </w:r>
      <w:r w:rsidR="00EC4DEE" w:rsidRPr="00734C7E">
        <w:rPr>
          <w:iCs/>
          <w:sz w:val="28"/>
          <w:szCs w:val="28"/>
        </w:rPr>
        <w:t>juurprobleemides</w:t>
      </w:r>
      <w:r w:rsidRPr="00734C7E">
        <w:rPr>
          <w:iCs/>
          <w:sz w:val="28"/>
          <w:szCs w:val="28"/>
        </w:rPr>
        <w:t>:</w:t>
      </w:r>
    </w:p>
    <w:p w14:paraId="47807DC5" w14:textId="513F3BE0" w:rsidR="00BA7440" w:rsidRPr="00734C7E" w:rsidRDefault="00BA7440" w:rsidP="00734C7E">
      <w:pPr>
        <w:spacing w:line="240" w:lineRule="auto"/>
        <w:jc w:val="both"/>
        <w:rPr>
          <w:iCs/>
          <w:sz w:val="28"/>
          <w:szCs w:val="28"/>
        </w:rPr>
      </w:pPr>
      <w:r w:rsidRPr="00734C7E">
        <w:rPr>
          <w:noProof/>
        </w:rPr>
        <w:drawing>
          <wp:inline distT="0" distB="0" distL="0" distR="0" wp14:anchorId="2765C03D" wp14:editId="74BA2551">
            <wp:extent cx="6364349" cy="36957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223" cy="3698530"/>
                    </a:xfrm>
                    <a:prstGeom prst="rect">
                      <a:avLst/>
                    </a:prstGeom>
                    <a:noFill/>
                    <a:ln>
                      <a:noFill/>
                    </a:ln>
                  </pic:spPr>
                </pic:pic>
              </a:graphicData>
            </a:graphic>
          </wp:inline>
        </w:drawing>
      </w:r>
    </w:p>
    <w:p w14:paraId="01E8D712" w14:textId="5C8F8715" w:rsidR="003771C7" w:rsidRPr="00734C7E" w:rsidRDefault="003771C7" w:rsidP="00734C7E">
      <w:pPr>
        <w:pStyle w:val="Loendilik"/>
        <w:spacing w:line="240" w:lineRule="auto"/>
        <w:jc w:val="both"/>
        <w:rPr>
          <w:iCs/>
          <w:sz w:val="28"/>
          <w:szCs w:val="28"/>
        </w:rPr>
      </w:pPr>
    </w:p>
    <w:p w14:paraId="093E1DA8" w14:textId="2F04652A" w:rsidR="003771C7" w:rsidRPr="00734C7E" w:rsidRDefault="003771C7" w:rsidP="00734C7E">
      <w:pPr>
        <w:pStyle w:val="Loendilik"/>
        <w:spacing w:line="240" w:lineRule="auto"/>
        <w:jc w:val="both"/>
        <w:rPr>
          <w:iCs/>
          <w:sz w:val="28"/>
          <w:szCs w:val="28"/>
        </w:rPr>
      </w:pPr>
    </w:p>
    <w:sectPr w:rsidR="003771C7" w:rsidRPr="00734C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C1DD" w14:textId="77777777" w:rsidR="00B80ADD" w:rsidRDefault="00B80ADD" w:rsidP="00B80ADD">
      <w:pPr>
        <w:spacing w:after="0" w:line="240" w:lineRule="auto"/>
      </w:pPr>
      <w:r>
        <w:separator/>
      </w:r>
    </w:p>
  </w:endnote>
  <w:endnote w:type="continuationSeparator" w:id="0">
    <w:p w14:paraId="6F43E41D" w14:textId="77777777" w:rsidR="00B80ADD" w:rsidRDefault="00B80ADD" w:rsidP="00B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9874" w14:textId="77777777" w:rsidR="00B80ADD" w:rsidRDefault="00B80ADD" w:rsidP="00B80ADD">
      <w:pPr>
        <w:spacing w:after="0" w:line="240" w:lineRule="auto"/>
      </w:pPr>
      <w:r>
        <w:separator/>
      </w:r>
    </w:p>
  </w:footnote>
  <w:footnote w:type="continuationSeparator" w:id="0">
    <w:p w14:paraId="6C931062" w14:textId="77777777" w:rsidR="00B80ADD" w:rsidRDefault="00B80ADD" w:rsidP="00B80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135"/>
    <w:multiLevelType w:val="hybridMultilevel"/>
    <w:tmpl w:val="70CA725A"/>
    <w:lvl w:ilvl="0" w:tplc="2DD807BE">
      <w:start w:val="1"/>
      <w:numFmt w:val="decimal"/>
      <w:lvlText w:val="%1."/>
      <w:lvlJc w:val="left"/>
      <w:pPr>
        <w:ind w:left="1068" w:hanging="360"/>
      </w:pPr>
      <w:rPr>
        <w:rFonts w:hint="default"/>
        <w:b/>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 w15:restartNumberingAfterBreak="0">
    <w:nsid w:val="36DC5781"/>
    <w:multiLevelType w:val="hybridMultilevel"/>
    <w:tmpl w:val="2D3A734C"/>
    <w:lvl w:ilvl="0" w:tplc="B164CCDE">
      <w:start w:val="1"/>
      <w:numFmt w:val="lowerLetter"/>
      <w:lvlText w:val="%1)"/>
      <w:lvlJc w:val="left"/>
      <w:pPr>
        <w:ind w:left="1428" w:hanging="360"/>
      </w:pPr>
      <w:rPr>
        <w:rFonts w:cstheme="minorBidi" w:hint="default"/>
        <w:b w:val="0"/>
        <w:color w:val="auto"/>
        <w:sz w:val="22"/>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 w15:restartNumberingAfterBreak="0">
    <w:nsid w:val="3FBB37B1"/>
    <w:multiLevelType w:val="hybridMultilevel"/>
    <w:tmpl w:val="7B1AF074"/>
    <w:lvl w:ilvl="0" w:tplc="CDACC29E">
      <w:start w:val="3"/>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8A069BA"/>
    <w:multiLevelType w:val="hybridMultilevel"/>
    <w:tmpl w:val="91E22EB8"/>
    <w:lvl w:ilvl="0" w:tplc="98D0E6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DB351D"/>
    <w:multiLevelType w:val="hybridMultilevel"/>
    <w:tmpl w:val="8AFAFBBE"/>
    <w:lvl w:ilvl="0" w:tplc="0425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E931D5"/>
    <w:multiLevelType w:val="hybridMultilevel"/>
    <w:tmpl w:val="EB360A92"/>
    <w:lvl w:ilvl="0" w:tplc="0425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6" w15:restartNumberingAfterBreak="0">
    <w:nsid w:val="6F240E31"/>
    <w:multiLevelType w:val="hybridMultilevel"/>
    <w:tmpl w:val="2E24681C"/>
    <w:lvl w:ilvl="0" w:tplc="0425000F">
      <w:start w:val="1"/>
      <w:numFmt w:val="decimal"/>
      <w:lvlText w:val="%1."/>
      <w:lvlJc w:val="left"/>
      <w:pPr>
        <w:ind w:left="1068" w:hanging="360"/>
      </w:pPr>
      <w:rPr>
        <w:rFonts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num w:numId="1" w16cid:durableId="3829504">
    <w:abstractNumId w:val="3"/>
  </w:num>
  <w:num w:numId="2" w16cid:durableId="2064135748">
    <w:abstractNumId w:val="5"/>
  </w:num>
  <w:num w:numId="3" w16cid:durableId="1941596834">
    <w:abstractNumId w:val="4"/>
  </w:num>
  <w:num w:numId="4" w16cid:durableId="688412248">
    <w:abstractNumId w:val="2"/>
  </w:num>
  <w:num w:numId="5" w16cid:durableId="211500597">
    <w:abstractNumId w:val="0"/>
  </w:num>
  <w:num w:numId="6" w16cid:durableId="1764491364">
    <w:abstractNumId w:val="1"/>
  </w:num>
  <w:num w:numId="7" w16cid:durableId="1172334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E4"/>
    <w:rsid w:val="000206C1"/>
    <w:rsid w:val="00025B18"/>
    <w:rsid w:val="00036769"/>
    <w:rsid w:val="0004150F"/>
    <w:rsid w:val="00056457"/>
    <w:rsid w:val="0006546A"/>
    <w:rsid w:val="000660D7"/>
    <w:rsid w:val="0009461C"/>
    <w:rsid w:val="000C4A77"/>
    <w:rsid w:val="000C6562"/>
    <w:rsid w:val="0011386F"/>
    <w:rsid w:val="00113CA1"/>
    <w:rsid w:val="00145C89"/>
    <w:rsid w:val="0015511F"/>
    <w:rsid w:val="00162696"/>
    <w:rsid w:val="001B5E90"/>
    <w:rsid w:val="001C1AFC"/>
    <w:rsid w:val="001C4CE1"/>
    <w:rsid w:val="001D1DF2"/>
    <w:rsid w:val="001F41B5"/>
    <w:rsid w:val="002740F2"/>
    <w:rsid w:val="00287F31"/>
    <w:rsid w:val="002A5877"/>
    <w:rsid w:val="002D1DCA"/>
    <w:rsid w:val="0034054D"/>
    <w:rsid w:val="00374A83"/>
    <w:rsid w:val="003771C7"/>
    <w:rsid w:val="003960C5"/>
    <w:rsid w:val="003E6FCA"/>
    <w:rsid w:val="00413750"/>
    <w:rsid w:val="00414D05"/>
    <w:rsid w:val="00426B59"/>
    <w:rsid w:val="0043110B"/>
    <w:rsid w:val="0044555E"/>
    <w:rsid w:val="004D572F"/>
    <w:rsid w:val="0050266D"/>
    <w:rsid w:val="005334E7"/>
    <w:rsid w:val="00591A1C"/>
    <w:rsid w:val="005932AE"/>
    <w:rsid w:val="005A550C"/>
    <w:rsid w:val="005C03A6"/>
    <w:rsid w:val="005F228A"/>
    <w:rsid w:val="00610D64"/>
    <w:rsid w:val="00624DC2"/>
    <w:rsid w:val="0068176A"/>
    <w:rsid w:val="006C2B59"/>
    <w:rsid w:val="006D0CAB"/>
    <w:rsid w:val="006F1E9F"/>
    <w:rsid w:val="00734C7E"/>
    <w:rsid w:val="00736B5F"/>
    <w:rsid w:val="00775141"/>
    <w:rsid w:val="007954E8"/>
    <w:rsid w:val="007E4290"/>
    <w:rsid w:val="008836E4"/>
    <w:rsid w:val="008C76EB"/>
    <w:rsid w:val="00915543"/>
    <w:rsid w:val="00925421"/>
    <w:rsid w:val="009540EA"/>
    <w:rsid w:val="0096460B"/>
    <w:rsid w:val="009B5F74"/>
    <w:rsid w:val="009B7C15"/>
    <w:rsid w:val="009E7E29"/>
    <w:rsid w:val="00A46A0B"/>
    <w:rsid w:val="00AA539C"/>
    <w:rsid w:val="00AB157F"/>
    <w:rsid w:val="00B20DBD"/>
    <w:rsid w:val="00B22735"/>
    <w:rsid w:val="00B80ADD"/>
    <w:rsid w:val="00B86D21"/>
    <w:rsid w:val="00B914F4"/>
    <w:rsid w:val="00BA4A77"/>
    <w:rsid w:val="00BA7440"/>
    <w:rsid w:val="00C15D4C"/>
    <w:rsid w:val="00C84285"/>
    <w:rsid w:val="00DA08E7"/>
    <w:rsid w:val="00E540C8"/>
    <w:rsid w:val="00E84F76"/>
    <w:rsid w:val="00E912FF"/>
    <w:rsid w:val="00EC4DEE"/>
    <w:rsid w:val="00F1442F"/>
    <w:rsid w:val="00F41602"/>
    <w:rsid w:val="00FE13EF"/>
    <w:rsid w:val="00FF64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0D6"/>
  <w15:chartTrackingRefBased/>
  <w15:docId w15:val="{38030E70-B2A9-4DE6-8C50-DA2B9EB0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734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3">
    <w:name w:val="heading 3"/>
    <w:basedOn w:val="Normaallaad"/>
    <w:next w:val="Normaallaad"/>
    <w:link w:val="Pealkiri3Mrk"/>
    <w:uiPriority w:val="9"/>
    <w:unhideWhenUsed/>
    <w:qFormat/>
    <w:rsid w:val="00F144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References,numbered list,List Paragraph,Listenabsatz1,Sąrašo pastraipa.Bullet,Bullet EY,Sąrašo pastraipa1,Numbering,ERP-List Paragraph,List Paragraph11,List Paragraph1,Sąrašo pastraipa,Bullet"/>
    <w:basedOn w:val="Normaallaad"/>
    <w:link w:val="LoendilikMrk"/>
    <w:uiPriority w:val="34"/>
    <w:qFormat/>
    <w:rsid w:val="008836E4"/>
    <w:pPr>
      <w:ind w:left="720"/>
      <w:contextualSpacing/>
    </w:pPr>
  </w:style>
  <w:style w:type="character" w:customStyle="1" w:styleId="LoendilikMrk">
    <w:name w:val="Loendi lõik Märk"/>
    <w:aliases w:val="Mummuga loetelu Märk,References Märk,numbered list Märk,List Paragraph Märk,Listenabsatz1 Märk,Sąrašo pastraipa.Bullet Märk,Bullet EY Märk,Sąrašo pastraipa1 Märk,Numbering Märk,ERP-List Paragraph Märk,List Paragraph11 Märk,Bullet Märk"/>
    <w:link w:val="Loendilik"/>
    <w:uiPriority w:val="34"/>
    <w:locked/>
    <w:rsid w:val="007E4290"/>
  </w:style>
  <w:style w:type="character" w:customStyle="1" w:styleId="Pealkiri3Mrk">
    <w:name w:val="Pealkiri 3 Märk"/>
    <w:basedOn w:val="Liguvaikefont"/>
    <w:link w:val="Pealkiri3"/>
    <w:uiPriority w:val="9"/>
    <w:rsid w:val="00F1442F"/>
    <w:rPr>
      <w:rFonts w:asciiTheme="majorHAnsi" w:eastAsiaTheme="majorEastAsia" w:hAnsiTheme="majorHAnsi" w:cstheme="majorBidi"/>
      <w:color w:val="1F4D78" w:themeColor="accent1" w:themeShade="7F"/>
      <w:sz w:val="24"/>
      <w:szCs w:val="24"/>
    </w:r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 Char1,fn Char1,fn,Footnote Text Char1"/>
    <w:basedOn w:val="Normaallaad"/>
    <w:link w:val="AllmrkusetekstMrk"/>
    <w:unhideWhenUsed/>
    <w:qFormat/>
    <w:rsid w:val="00B80ADD"/>
    <w:pPr>
      <w:spacing w:after="0" w:line="240" w:lineRule="auto"/>
    </w:pPr>
    <w:rPr>
      <w:sz w:val="20"/>
      <w:szCs w:val="20"/>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n Char1 Märk,fn Märk"/>
    <w:basedOn w:val="Liguvaikefont"/>
    <w:link w:val="Allmrkusetekst"/>
    <w:rsid w:val="00B80ADD"/>
    <w:rPr>
      <w:sz w:val="20"/>
      <w:szCs w:val="20"/>
    </w:rPr>
  </w:style>
  <w:style w:type="character" w:styleId="Allmrkuseviide">
    <w:name w:val="footnote reference"/>
    <w:aliases w:val="Footnote symbol,Ref,de nota al pie,-E Fußnotenzeichen,fr"/>
    <w:basedOn w:val="Liguvaikefont"/>
    <w:unhideWhenUsed/>
    <w:rsid w:val="00B80ADD"/>
    <w:rPr>
      <w:vertAlign w:val="superscript"/>
    </w:rPr>
  </w:style>
  <w:style w:type="paragraph" w:styleId="Pis">
    <w:name w:val="header"/>
    <w:basedOn w:val="Normaallaad"/>
    <w:link w:val="PisMrk"/>
    <w:uiPriority w:val="99"/>
    <w:unhideWhenUsed/>
    <w:rsid w:val="00BA7440"/>
    <w:pPr>
      <w:tabs>
        <w:tab w:val="center" w:pos="4536"/>
        <w:tab w:val="right" w:pos="9072"/>
      </w:tabs>
      <w:spacing w:after="0" w:line="240" w:lineRule="auto"/>
    </w:pPr>
  </w:style>
  <w:style w:type="character" w:customStyle="1" w:styleId="PisMrk">
    <w:name w:val="Päis Märk"/>
    <w:basedOn w:val="Liguvaikefont"/>
    <w:link w:val="Pis"/>
    <w:uiPriority w:val="99"/>
    <w:rsid w:val="00BA7440"/>
  </w:style>
  <w:style w:type="paragraph" w:styleId="Jalus">
    <w:name w:val="footer"/>
    <w:basedOn w:val="Normaallaad"/>
    <w:link w:val="JalusMrk"/>
    <w:uiPriority w:val="99"/>
    <w:unhideWhenUsed/>
    <w:rsid w:val="00BA7440"/>
    <w:pPr>
      <w:tabs>
        <w:tab w:val="center" w:pos="4536"/>
        <w:tab w:val="right" w:pos="9072"/>
      </w:tabs>
      <w:spacing w:after="0" w:line="240" w:lineRule="auto"/>
    </w:pPr>
  </w:style>
  <w:style w:type="character" w:customStyle="1" w:styleId="JalusMrk">
    <w:name w:val="Jalus Märk"/>
    <w:basedOn w:val="Liguvaikefont"/>
    <w:link w:val="Jalus"/>
    <w:uiPriority w:val="99"/>
    <w:rsid w:val="00BA7440"/>
  </w:style>
  <w:style w:type="character" w:customStyle="1" w:styleId="Pealkiri1Mrk">
    <w:name w:val="Pealkiri 1 Märk"/>
    <w:basedOn w:val="Liguvaikefont"/>
    <w:link w:val="Pealkiri1"/>
    <w:uiPriority w:val="9"/>
    <w:rsid w:val="00734C7E"/>
    <w:rPr>
      <w:rFonts w:ascii="Times New Roman" w:eastAsia="Times New Roman" w:hAnsi="Times New Roman" w:cs="Times New Roman"/>
      <w:b/>
      <w:bCs/>
      <w:kern w:val="36"/>
      <w:sz w:val="48"/>
      <w:szCs w:val="48"/>
      <w:lang w:eastAsia="et-EE"/>
    </w:rPr>
  </w:style>
  <w:style w:type="character" w:customStyle="1" w:styleId="field">
    <w:name w:val="field"/>
    <w:basedOn w:val="Liguvaikefont"/>
    <w:rsid w:val="0073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66311">
      <w:bodyDiv w:val="1"/>
      <w:marLeft w:val="0"/>
      <w:marRight w:val="0"/>
      <w:marTop w:val="0"/>
      <w:marBottom w:val="0"/>
      <w:divBdr>
        <w:top w:val="none" w:sz="0" w:space="0" w:color="auto"/>
        <w:left w:val="none" w:sz="0" w:space="0" w:color="auto"/>
        <w:bottom w:val="none" w:sz="0" w:space="0" w:color="auto"/>
        <w:right w:val="none" w:sz="0" w:space="0" w:color="auto"/>
      </w:divBdr>
    </w:div>
    <w:div w:id="15764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1927</Words>
  <Characters>11182</Characters>
  <Application>Microsoft Office Word</Application>
  <DocSecurity>4</DocSecurity>
  <Lines>93</Lines>
  <Paragraphs>26</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Eedi Sepp</dc:creator>
  <cp:keywords/>
  <dc:description/>
  <cp:lastModifiedBy>Krislin Ots</cp:lastModifiedBy>
  <cp:revision>2</cp:revision>
  <dcterms:created xsi:type="dcterms:W3CDTF">2022-12-05T12:24:00Z</dcterms:created>
  <dcterms:modified xsi:type="dcterms:W3CDTF">2022-12-05T12:24:00Z</dcterms:modified>
</cp:coreProperties>
</file>