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36C7" w14:textId="77777777" w:rsidR="002A2417" w:rsidRPr="002A2417" w:rsidRDefault="002A2417" w:rsidP="002A2417">
      <w:pPr>
        <w:spacing w:after="0" w:line="240" w:lineRule="auto"/>
        <w:ind w:right="-1234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tbl>
      <w:tblPr>
        <w:tblW w:w="8787" w:type="dxa"/>
        <w:tblInd w:w="127" w:type="dxa"/>
        <w:tblBorders>
          <w:top w:val="single" w:sz="12" w:space="0" w:color="E56998"/>
          <w:left w:val="single" w:sz="12" w:space="0" w:color="E56998"/>
          <w:bottom w:val="single" w:sz="12" w:space="0" w:color="E56998"/>
          <w:right w:val="single" w:sz="12" w:space="0" w:color="E56998"/>
        </w:tblBorders>
        <w:tblLook w:val="04A0" w:firstRow="1" w:lastRow="0" w:firstColumn="1" w:lastColumn="0" w:noHBand="0" w:noVBand="1"/>
      </w:tblPr>
      <w:tblGrid>
        <w:gridCol w:w="2376"/>
        <w:gridCol w:w="6411"/>
      </w:tblGrid>
      <w:tr w:rsidR="002A2417" w:rsidRPr="002A2417" w14:paraId="31C8A91D" w14:textId="77777777" w:rsidTr="002A2417">
        <w:trPr>
          <w:trHeight w:val="976"/>
        </w:trPr>
        <w:tc>
          <w:tcPr>
            <w:tcW w:w="1841" w:type="dxa"/>
            <w:shd w:val="clear" w:color="auto" w:fill="auto"/>
            <w:vAlign w:val="center"/>
          </w:tcPr>
          <w:p w14:paraId="42DD244B" w14:textId="77777777"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noProof/>
                <w:color w:val="993366"/>
                <w:sz w:val="16"/>
                <w:szCs w:val="16"/>
                <w:lang w:val="et-EE" w:eastAsia="et-EE"/>
              </w:rPr>
              <w:drawing>
                <wp:inline distT="0" distB="0" distL="0" distR="0" wp14:anchorId="75CFFD9B" wp14:editId="47411559">
                  <wp:extent cx="1371600" cy="647700"/>
                  <wp:effectExtent l="0" t="0" r="0" b="0"/>
                  <wp:docPr id="1" name="Picture 1" descr="HMC_ProjectsCentralEastEurope_OnWhit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C_ProjectsCentralEastEurope_OnWhit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16859" r="7103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C62D55" w14:textId="77777777" w:rsidR="002A2417" w:rsidRPr="002A2417" w:rsidRDefault="00D72A0A" w:rsidP="002A2417">
            <w:pPr>
              <w:spacing w:after="6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Chair of Trustees: Rhiannon Wilkinson, Headmistress Wycombe Abbey</w:t>
            </w:r>
          </w:p>
          <w:p w14:paraId="25C5F8C9" w14:textId="1D1EE420" w:rsidR="002A2417" w:rsidRPr="002A2417" w:rsidRDefault="00D72A0A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Director: Andrew Boggis; Student Coordinator: </w:t>
            </w:r>
            <w:r w:rsidR="00BD2275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Wendy McLachlan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;  </w:t>
            </w:r>
          </w:p>
          <w:p w14:paraId="36E607DE" w14:textId="77777777" w:rsidR="002A2417" w:rsidRPr="002A2417" w:rsidRDefault="00D72A0A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Administrator: Dr Jonathan Wolstenholme</w:t>
            </w:r>
          </w:p>
        </w:tc>
      </w:tr>
      <w:tr w:rsidR="002A2417" w:rsidRPr="002A2417" w14:paraId="4F65D790" w14:textId="77777777" w:rsidTr="002A2417">
        <w:trPr>
          <w:trHeight w:val="291"/>
        </w:trPr>
        <w:tc>
          <w:tcPr>
            <w:tcW w:w="8787" w:type="dxa"/>
            <w:gridSpan w:val="2"/>
            <w:shd w:val="clear" w:color="auto" w:fill="auto"/>
            <w:vAlign w:val="center"/>
          </w:tcPr>
          <w:p w14:paraId="7A0C92BA" w14:textId="77777777"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A Company Limited by Guarantee: Company No. 3636789.    Registered Charity No. 1074491</w:t>
            </w:r>
          </w:p>
        </w:tc>
      </w:tr>
    </w:tbl>
    <w:p w14:paraId="110BA208" w14:textId="77777777" w:rsidR="002A2417" w:rsidRPr="002A2417" w:rsidRDefault="002A2417" w:rsidP="002A2417">
      <w:pPr>
        <w:spacing w:after="0" w:line="240" w:lineRule="auto"/>
        <w:rPr>
          <w:rFonts w:ascii="Arial" w:eastAsia="Times New Roman" w:hAnsi="Arial" w:cs="Arial"/>
          <w:color w:val="99CC00"/>
          <w:lang w:eastAsia="en-GB"/>
        </w:rPr>
      </w:pPr>
    </w:p>
    <w:p w14:paraId="0653C3E8" w14:textId="77777777" w:rsidR="002A2417" w:rsidRDefault="002A2417" w:rsidP="007E58C2">
      <w:pPr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5F7CE0">
        <w:rPr>
          <w:rFonts w:ascii="Times New Roman" w:hAnsi="Times New Roman" w:cs="Times New Roman"/>
          <w:noProof/>
          <w:sz w:val="28"/>
          <w:szCs w:val="28"/>
          <w:lang w:eastAsia="en-GB"/>
        </w:rPr>
        <w:t>HMC PROJECTS – IN BRIEF</w:t>
      </w:r>
    </w:p>
    <w:p w14:paraId="27E5470C" w14:textId="45225CB1" w:rsidR="007E58C2" w:rsidRDefault="007E58C2" w:rsidP="00BD2275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i/>
          <w:noProof/>
          <w:lang w:eastAsia="en-GB"/>
        </w:rPr>
        <w:t>HMC Projects in Central &amp; Eastern Europe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lang w:eastAsia="en-GB"/>
        </w:rPr>
        <w:t xml:space="preserve">– usually shortened to </w:t>
      </w:r>
      <w:r>
        <w:rPr>
          <w:rFonts w:ascii="Times New Roman" w:hAnsi="Times New Roman" w:cs="Times New Roman"/>
          <w:i/>
          <w:noProof/>
          <w:lang w:eastAsia="en-GB"/>
        </w:rPr>
        <w:t>HMC Projects</w:t>
      </w:r>
      <w:r>
        <w:rPr>
          <w:rFonts w:ascii="Times New Roman" w:hAnsi="Times New Roman" w:cs="Times New Roman"/>
          <w:noProof/>
          <w:lang w:eastAsia="en-GB"/>
        </w:rPr>
        <w:t xml:space="preserve"> – is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 charitable trust which organises scholarship programmes targeted at </w:t>
      </w:r>
      <w:r w:rsidRPr="007E58C2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talented young people from non-affluent backgrounds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in central and eastern European countries, so that they can come to study in the 6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Form in UK boarding schools in membership of HMC, GSA, S</w:t>
      </w:r>
      <w:r w:rsidR="004C1DBF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BA and Society of Heads.</w:t>
      </w:r>
    </w:p>
    <w:p w14:paraId="21E3570D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Sixth Form Scholarship Programmes</w:t>
      </w:r>
    </w:p>
    <w:p w14:paraId="66A242D9" w14:textId="77777777" w:rsidR="003B173B" w:rsidRDefault="003B173B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7A09B912" w14:textId="7A42902F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There are two scholarship programmes for students who join the Lower 6th initially for one</w:t>
      </w:r>
      <w:r w:rsidR="00D72A0A">
        <w:rPr>
          <w:rFonts w:ascii="Times New Roman" w:eastAsia="Times New Roman" w:hAnsi="Times New Roman" w:cs="Times New Roman"/>
          <w:color w:val="000000"/>
          <w:lang w:eastAsia="en-GB"/>
        </w:rPr>
        <w:t xml:space="preserve"> year, although it is now the normal practice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for schools to invite students to stay on for the second year of the Sixth Form. Full details of the two programmes – the full scholarship programme and the reduced fee programme – can be found on the HMC website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www.hmc.org.uk/projects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620DF2D4" w14:textId="77777777" w:rsidR="002A2417" w:rsidRDefault="002A2417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29A2A1" w14:textId="5FAB7B4E" w:rsidR="002A2417" w:rsidRPr="002A2417" w:rsidRDefault="002A2417" w:rsidP="002A2417">
      <w:pPr>
        <w:spacing w:after="0" w:line="240" w:lineRule="auto"/>
        <w:jc w:val="both"/>
        <w:rPr>
          <w:rStyle w:val="A18"/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/>
          <w:b/>
          <w:color w:val="000000"/>
        </w:rPr>
        <w:t>Student quality and philanthropy (on the part of schools) lie at the heart of the programme</w:t>
      </w:r>
      <w:r>
        <w:rPr>
          <w:rFonts w:ascii="Times New Roman" w:eastAsia="Times New Roman" w:hAnsi="Times New Roman"/>
          <w:color w:val="000000"/>
        </w:rPr>
        <w:t>s. Although m</w:t>
      </w:r>
      <w:r w:rsidR="00D72A0A">
        <w:rPr>
          <w:rFonts w:ascii="Times New Roman" w:eastAsia="Times New Roman" w:hAnsi="Times New Roman"/>
          <w:color w:val="000000"/>
        </w:rPr>
        <w:t>uch has changed over the past 25</w:t>
      </w:r>
      <w:r>
        <w:rPr>
          <w:rFonts w:ascii="Times New Roman" w:eastAsia="Times New Roman" w:hAnsi="Times New Roman"/>
          <w:color w:val="000000"/>
        </w:rPr>
        <w:t xml:space="preserve"> years (since the collapse of the Soviet Union and the opening up of </w:t>
      </w:r>
      <w:r w:rsidRPr="007E58C2">
        <w:rPr>
          <w:rFonts w:ascii="Times New Roman" w:eastAsia="Times New Roman" w:hAnsi="Times New Roman"/>
          <w:color w:val="000000"/>
        </w:rPr>
        <w:t>countries in central and eastern Europe), the raison</w:t>
      </w:r>
      <w:r w:rsidRPr="002D54E4">
        <w:rPr>
          <w:rFonts w:ascii="Times New Roman" w:eastAsia="Times New Roman" w:hAnsi="Times New Roman"/>
          <w:color w:val="000000"/>
          <w:lang w:val="fr-BE"/>
        </w:rPr>
        <w:t xml:space="preserve"> d’etre</w:t>
      </w:r>
      <w:r w:rsidRPr="007E58C2">
        <w:rPr>
          <w:rFonts w:ascii="Times New Roman" w:eastAsia="Times New Roman" w:hAnsi="Times New Roman"/>
          <w:color w:val="000000"/>
        </w:rPr>
        <w:t xml:space="preserve"> of the programme remains arguably as valid as ever. </w:t>
      </w:r>
      <w:r w:rsidRPr="007E58C2">
        <w:rPr>
          <w:rStyle w:val="A18"/>
          <w:rFonts w:ascii="Times New Roman" w:hAnsi="Times New Roman" w:cs="Times New Roman"/>
          <w:i/>
          <w:sz w:val="22"/>
          <w:szCs w:val="22"/>
        </w:rPr>
        <w:t xml:space="preserve">HMC Projects </w:t>
      </w:r>
      <w:r w:rsidRPr="007E58C2">
        <w:rPr>
          <w:rStyle w:val="A18"/>
          <w:rFonts w:ascii="Times New Roman" w:hAnsi="Times New Roman" w:cs="Times New Roman"/>
          <w:sz w:val="22"/>
          <w:szCs w:val="22"/>
        </w:rPr>
        <w:t xml:space="preserve">seeks to identify very able, interesting and distinctively different young people from less </w:t>
      </w:r>
      <w:r w:rsidR="00CE4D2F">
        <w:rPr>
          <w:rStyle w:val="A18"/>
          <w:rFonts w:ascii="Times New Roman" w:hAnsi="Times New Roman" w:cs="Times New Roman"/>
          <w:sz w:val="22"/>
          <w:szCs w:val="22"/>
        </w:rPr>
        <w:t>affluent</w:t>
      </w:r>
      <w:r w:rsidRPr="007E58C2">
        <w:rPr>
          <w:rStyle w:val="A18"/>
          <w:rFonts w:ascii="Times New Roman" w:hAnsi="Times New Roman" w:cs="Times New Roman"/>
          <w:sz w:val="22"/>
          <w:szCs w:val="22"/>
        </w:rPr>
        <w:t xml:space="preserve"> backgrounds, who in turn bring an enormous amount to the schools which host them.</w:t>
      </w:r>
    </w:p>
    <w:p w14:paraId="7450DEBD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7DFA36" w14:textId="77777777" w:rsidR="007E58C2" w:rsidRDefault="00A61EE3" w:rsidP="00A6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For both the full and reduced fee programmes </w:t>
      </w:r>
      <w:r w:rsidRPr="00062D55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the country coordinators are targeting academically able and talented young people from non-a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>ffluent backgr</w:t>
      </w:r>
      <w:r>
        <w:rPr>
          <w:rFonts w:ascii="Times New Roman" w:eastAsia="Times New Roman" w:hAnsi="Times New Roman" w:cs="Times New Roman"/>
          <w:color w:val="000000"/>
          <w:lang w:eastAsia="en-GB"/>
        </w:rPr>
        <w:t>ounds, but there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are differences in how each </w:t>
      </w:r>
      <w:r w:rsidR="00062D55">
        <w:rPr>
          <w:rFonts w:ascii="Times New Roman" w:eastAsia="Times New Roman" w:hAnsi="Times New Roman" w:cs="Times New Roman"/>
          <w:color w:val="000000"/>
          <w:lang w:eastAsia="en-GB"/>
        </w:rPr>
        <w:t xml:space="preserve">programme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is organised.</w:t>
      </w:r>
    </w:p>
    <w:p w14:paraId="44F4C5B4" w14:textId="77777777" w:rsidR="00A61EE3" w:rsidRPr="00A61EE3" w:rsidRDefault="00A61EE3" w:rsidP="00A6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516D4B" w14:textId="11754C29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Combined parental income of student applicants for </w:t>
      </w:r>
      <w:r w:rsidRPr="002A2417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full scholarships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must be restricted to £30,000 p.a. </w:t>
      </w:r>
      <w:r w:rsidR="00A61EE3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Scholars offered a full scholarship are placed </w:t>
      </w:r>
      <w:r w:rsidR="00062D55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by HMC Projects </w:t>
      </w:r>
      <w:r w:rsidR="00A61EE3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>in a school which has offered a firm place on the programme</w:t>
      </w:r>
      <w:r w:rsidR="00A61EE3">
        <w:rPr>
          <w:rFonts w:ascii="Times New Roman" w:eastAsia="Times New Roman" w:hAnsi="Times New Roman" w:cs="Times New Roman"/>
          <w:color w:val="000000"/>
          <w:lang w:eastAsia="en-GB"/>
        </w:rPr>
        <w:t>. HMC Projects encourages schools to be as prescriptive as they wish and takes huge care to place successful scholars in the most appropriate school</w:t>
      </w:r>
      <w:r w:rsidR="00BD2275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A61E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7DACD75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08DB0B" w14:textId="03E229EC" w:rsidR="007E58C2" w:rsidRPr="007E58C2" w:rsidRDefault="002A2417" w:rsidP="007E5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>tudents who</w:t>
      </w:r>
      <w:r>
        <w:rPr>
          <w:rFonts w:ascii="Times New Roman" w:eastAsia="Times New Roman" w:hAnsi="Times New Roman" w:cs="Times New Roman"/>
          <w:lang w:eastAsia="en-GB"/>
        </w:rPr>
        <w:t xml:space="preserve"> per</w:t>
      </w:r>
      <w:r w:rsidR="00A61EE3">
        <w:rPr>
          <w:rFonts w:ascii="Times New Roman" w:eastAsia="Times New Roman" w:hAnsi="Times New Roman" w:cs="Times New Roman"/>
          <w:lang w:eastAsia="en-GB"/>
        </w:rPr>
        <w:t>form very strongly in the selection process, but</w:t>
      </w:r>
      <w:r>
        <w:rPr>
          <w:rFonts w:ascii="Times New Roman" w:eastAsia="Times New Roman" w:hAnsi="Times New Roman" w:cs="Times New Roman"/>
          <w:lang w:eastAsia="en-GB"/>
        </w:rPr>
        <w:t xml:space="preserve"> who cannot be offered a full scholarship 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>may have their names added to a list of reserves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r w:rsidR="00F55B57">
        <w:rPr>
          <w:rFonts w:ascii="Times New Roman" w:eastAsia="Times New Roman" w:hAnsi="Times New Roman" w:cs="Times New Roman"/>
          <w:i/>
          <w:lang w:eastAsia="en-GB"/>
        </w:rPr>
        <w:t>Provided that their parental/family income does not exceed £80,000 p.a. t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hese </w:t>
      </w:r>
      <w:r w:rsidR="007E58C2" w:rsidRPr="003B173B">
        <w:rPr>
          <w:rFonts w:ascii="Times New Roman" w:eastAsia="Times New Roman" w:hAnsi="Times New Roman" w:cs="Times New Roman"/>
          <w:i/>
          <w:lang w:eastAsia="en-GB"/>
        </w:rPr>
        <w:t>candidates are offered the opportunity to apply for a reduced fee scholarship</w:t>
      </w:r>
      <w:r w:rsidR="00062D55" w:rsidRPr="003B173B">
        <w:rPr>
          <w:rFonts w:ascii="Times New Roman" w:eastAsia="Times New Roman" w:hAnsi="Times New Roman" w:cs="Times New Roman"/>
          <w:i/>
          <w:lang w:eastAsia="en-GB"/>
        </w:rPr>
        <w:t xml:space="preserve"> along with the </w:t>
      </w:r>
      <w:r w:rsidR="005F7CE0" w:rsidRPr="003B173B">
        <w:rPr>
          <w:rFonts w:ascii="Times New Roman" w:eastAsia="Times New Roman" w:hAnsi="Times New Roman" w:cs="Times New Roman"/>
          <w:i/>
          <w:lang w:eastAsia="en-GB"/>
        </w:rPr>
        <w:t xml:space="preserve">small number of those </w:t>
      </w:r>
      <w:r w:rsidR="007E58C2" w:rsidRPr="003B173B">
        <w:rPr>
          <w:rFonts w:ascii="Times New Roman" w:eastAsia="Times New Roman" w:hAnsi="Times New Roman" w:cs="Times New Roman"/>
          <w:i/>
          <w:lang w:eastAsia="en-GB"/>
        </w:rPr>
        <w:t xml:space="preserve">specifically selected by the 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>interviewers because parental income exceed</w:t>
      </w:r>
      <w:r w:rsidR="00F55B57">
        <w:rPr>
          <w:rFonts w:ascii="Times New Roman" w:eastAsia="Times New Roman" w:hAnsi="Times New Roman" w:cs="Times New Roman"/>
          <w:i/>
          <w:lang w:eastAsia="en-GB"/>
        </w:rPr>
        <w:t>s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 £30,</w:t>
      </w:r>
      <w:r w:rsidR="005F7CE0" w:rsidRPr="003B173B">
        <w:rPr>
          <w:rFonts w:ascii="Times New Roman" w:eastAsia="Times New Roman" w:hAnsi="Times New Roman" w:cs="Times New Roman"/>
          <w:i/>
          <w:lang w:eastAsia="en-GB"/>
        </w:rPr>
        <w:t>000 p.a.</w:t>
      </w:r>
      <w:r w:rsidR="005F7C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A61EE3">
        <w:rPr>
          <w:rFonts w:ascii="Times New Roman" w:eastAsia="Times New Roman" w:hAnsi="Times New Roman" w:cs="Times New Roman"/>
          <w:lang w:eastAsia="en-GB"/>
        </w:rPr>
        <w:t>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chools </w:t>
      </w:r>
      <w:r>
        <w:rPr>
          <w:rFonts w:ascii="Times New Roman" w:eastAsia="Times New Roman" w:hAnsi="Times New Roman" w:cs="Times New Roman"/>
          <w:lang w:eastAsia="en-GB"/>
        </w:rPr>
        <w:t xml:space="preserve">which have offered a place or places 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will choose their preferred applicants from those who apply. Reduced fee scholars pay partial fees to the school: typically, 20-25% of full fees. They do not pay an administrative fee and so receive no bursary or any other benefits from </w:t>
      </w:r>
      <w:r w:rsidR="007E58C2" w:rsidRPr="00062D55">
        <w:rPr>
          <w:rFonts w:ascii="Times New Roman" w:eastAsia="Times New Roman" w:hAnsi="Times New Roman" w:cs="Times New Roman"/>
          <w:i/>
          <w:lang w:eastAsia="en-GB"/>
        </w:rPr>
        <w:t>HMC Projects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F55B57">
        <w:rPr>
          <w:rFonts w:ascii="Times New Roman" w:eastAsia="Times New Roman" w:hAnsi="Times New Roman" w:cs="Times New Roman"/>
          <w:lang w:eastAsia="en-GB"/>
        </w:rPr>
        <w:t>We cannot guarantee that all recommended reduced fee scholars will receive an offer, but in reality almost all do.</w:t>
      </w:r>
    </w:p>
    <w:p w14:paraId="4EC81128" w14:textId="77777777" w:rsidR="007E58C2" w:rsidRPr="007E58C2" w:rsidRDefault="007E58C2" w:rsidP="007E5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C471567" w14:textId="3AD184CE" w:rsidR="007E58C2" w:rsidRDefault="002D54E4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is 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>September</w:t>
      </w:r>
      <w:r w:rsidR="00C03FE2">
        <w:rPr>
          <w:rFonts w:ascii="Times New Roman" w:eastAsia="Times New Roman" w:hAnsi="Times New Roman" w:cs="Times New Roman"/>
          <w:color w:val="000000"/>
          <w:lang w:eastAsia="en-GB"/>
        </w:rPr>
        <w:t xml:space="preserve"> over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B173B">
        <w:rPr>
          <w:rFonts w:ascii="Times New Roman" w:eastAsia="Times New Roman" w:hAnsi="Times New Roman" w:cs="Times New Roman"/>
          <w:color w:val="000000"/>
          <w:lang w:eastAsia="en-GB"/>
        </w:rPr>
        <w:t>90</w:t>
      </w:r>
      <w:r w:rsidR="007E58C2" w:rsidRP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new </w:t>
      </w:r>
      <w:r w:rsidR="007E58C2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 w:rsidR="007E58C2" w:rsidRP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Scholars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started.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They c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me from 14 countries in all: Armenia, Bosnia-Herzegovina, Bulgaria, Croatia, Czech Republic, Estonia, Georgia, Moldova, Montenegro, Poland, Romania, Serbia, Slovakia and Ukraine. In all since </w:t>
      </w:r>
      <w:r w:rsidR="007E58C2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started in 1993 some 1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>00 young people have come through them to a range of boarding schools (HMC, GSA, State maintained &amp; Society of Heads) in all parts of the UK and in some cases abroad.</w:t>
      </w:r>
    </w:p>
    <w:p w14:paraId="7E0D0381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0E9D308" w14:textId="4CE081F7" w:rsidR="007E58C2" w:rsidRDefault="007E58C2" w:rsidP="003B1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lang w:eastAsia="en-GB"/>
        </w:rPr>
        <w:lastRenderedPageBreak/>
        <w:t xml:space="preserve">HMC Projects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has particular expertise and contacts in the countries where it operates and identifies types of students who may not appear through more conventional routes or through profit-making agencies. </w:t>
      </w:r>
    </w:p>
    <w:p w14:paraId="0551C31C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CB6BD8C" w14:textId="5EADD2D5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Students are selected through entry procedures conducted in home countries and interviews by members of </w:t>
      </w:r>
      <w:r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(usually 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>trustees and executive –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experienced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serving and former headteachers or senior teachers who offer their services on a </w:t>
      </w:r>
      <w:r w:rsidRPr="00692AEC">
        <w:rPr>
          <w:rFonts w:ascii="Times New Roman" w:eastAsia="Times New Roman" w:hAnsi="Times New Roman" w:cs="Times New Roman"/>
          <w:i/>
          <w:color w:val="000000"/>
          <w:lang w:eastAsia="en-GB"/>
        </w:rPr>
        <w:t>pro bono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basis). In five countries we collaborate closely with ASSIST (American Secondary Schools for International Students and Teachers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FF"/>
            <w:lang w:eastAsia="en-GB"/>
          </w:rPr>
          <w:t>www.assist-inc.org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). </w:t>
      </w:r>
    </w:p>
    <w:p w14:paraId="79927C6C" w14:textId="50A63B0C" w:rsidR="00D72A0A" w:rsidRDefault="00D72A0A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43421CA" w14:textId="2F010179" w:rsidR="00CE4D2F" w:rsidRDefault="00CE4D2F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A2568C" w14:textId="0D3BEAFD" w:rsidR="00CE4D2F" w:rsidRDefault="00CE4D2F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September 2018</w:t>
      </w:r>
    </w:p>
    <w:p w14:paraId="24AC01DB" w14:textId="4D7E1D9B" w:rsidR="00A61EE3" w:rsidRPr="002A2417" w:rsidRDefault="00A61EE3" w:rsidP="002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A61EE3" w:rsidRPr="002A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0A7"/>
    <w:multiLevelType w:val="hybridMultilevel"/>
    <w:tmpl w:val="5C2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2"/>
    <w:rsid w:val="00062D55"/>
    <w:rsid w:val="002A2417"/>
    <w:rsid w:val="002A2668"/>
    <w:rsid w:val="002D54E4"/>
    <w:rsid w:val="003B173B"/>
    <w:rsid w:val="004C1DBF"/>
    <w:rsid w:val="00583350"/>
    <w:rsid w:val="005F7CE0"/>
    <w:rsid w:val="00692AEC"/>
    <w:rsid w:val="007E58C2"/>
    <w:rsid w:val="00934D93"/>
    <w:rsid w:val="00944F52"/>
    <w:rsid w:val="00A61EE3"/>
    <w:rsid w:val="00B0230D"/>
    <w:rsid w:val="00BD2275"/>
    <w:rsid w:val="00C03FE2"/>
    <w:rsid w:val="00CB3BDE"/>
    <w:rsid w:val="00CE4D2F"/>
    <w:rsid w:val="00D72A0A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B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C2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7E58C2"/>
    <w:pPr>
      <w:autoSpaceDE w:val="0"/>
      <w:autoSpaceDN w:val="0"/>
      <w:adjustRightInd w:val="0"/>
      <w:spacing w:after="0" w:line="241" w:lineRule="atLeast"/>
    </w:pPr>
    <w:rPr>
      <w:rFonts w:ascii="HelveticaNeueLT Pro 55 Roman" w:eastAsia="Calibri" w:hAnsi="HelveticaNeueLT Pro 55 Roman" w:cs="Times New Roman"/>
      <w:sz w:val="24"/>
      <w:szCs w:val="24"/>
      <w:lang w:eastAsia="en-GB"/>
    </w:rPr>
  </w:style>
  <w:style w:type="character" w:customStyle="1" w:styleId="A18">
    <w:name w:val="A18"/>
    <w:uiPriority w:val="99"/>
    <w:rsid w:val="007E58C2"/>
    <w:rPr>
      <w:rFonts w:ascii="HelveticaNeueLT Pro 55 Roman" w:hAnsi="HelveticaNeueLT Pro 55 Roman" w:cs="HelveticaNeueLT Pro 55 Roman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E58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3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C2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7E58C2"/>
    <w:pPr>
      <w:autoSpaceDE w:val="0"/>
      <w:autoSpaceDN w:val="0"/>
      <w:adjustRightInd w:val="0"/>
      <w:spacing w:after="0" w:line="241" w:lineRule="atLeast"/>
    </w:pPr>
    <w:rPr>
      <w:rFonts w:ascii="HelveticaNeueLT Pro 55 Roman" w:eastAsia="Calibri" w:hAnsi="HelveticaNeueLT Pro 55 Roman" w:cs="Times New Roman"/>
      <w:sz w:val="24"/>
      <w:szCs w:val="24"/>
      <w:lang w:eastAsia="en-GB"/>
    </w:rPr>
  </w:style>
  <w:style w:type="character" w:customStyle="1" w:styleId="A18">
    <w:name w:val="A18"/>
    <w:uiPriority w:val="99"/>
    <w:rsid w:val="007E58C2"/>
    <w:rPr>
      <w:rFonts w:ascii="HelveticaNeueLT Pro 55 Roman" w:hAnsi="HelveticaNeueLT Pro 55 Roman" w:cs="HelveticaNeueLT Pro 55 Roman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E58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3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-in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c.org.uk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Kaarin Truus</cp:lastModifiedBy>
  <cp:revision>2</cp:revision>
  <cp:lastPrinted>2017-11-11T12:44:00Z</cp:lastPrinted>
  <dcterms:created xsi:type="dcterms:W3CDTF">2018-08-28T09:37:00Z</dcterms:created>
  <dcterms:modified xsi:type="dcterms:W3CDTF">2018-08-28T09:37:00Z</dcterms:modified>
</cp:coreProperties>
</file>