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79A6" w:rsidRPr="00883A9B" w:rsidRDefault="00DC41D7">
      <w:pPr>
        <w:jc w:val="center"/>
        <w:rPr>
          <w:noProof/>
        </w:rPr>
      </w:pPr>
      <w:bookmarkStart w:id="0" w:name="_GoBack"/>
      <w:bookmarkEnd w:id="0"/>
      <w:r w:rsidRPr="00883A9B">
        <w:rPr>
          <w:b/>
          <w:noProof/>
          <w:sz w:val="40"/>
          <w:szCs w:val="40"/>
        </w:rPr>
        <w:t>TALLINNA ÜLIKOOL</w:t>
      </w:r>
    </w:p>
    <w:p w:rsidR="004479A6" w:rsidRPr="00883A9B" w:rsidRDefault="004479A6">
      <w:pPr>
        <w:rPr>
          <w:noProof/>
        </w:rPr>
      </w:pPr>
    </w:p>
    <w:tbl>
      <w:tblPr>
        <w:tblStyle w:val="a"/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 xml:space="preserve">Põhiüksus: 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4479A6" w:rsidRPr="00883A9B" w:rsidRDefault="00DC41D7">
            <w:pPr>
              <w:rPr>
                <w:noProof/>
              </w:rPr>
            </w:pPr>
            <w:r w:rsidRPr="00883A9B">
              <w:rPr>
                <w:b/>
                <w:noProof/>
              </w:rPr>
              <w:t>HISPAANIA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F27034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6B2DD5">
            <w:pPr>
              <w:jc w:val="center"/>
              <w:rPr>
                <w:noProof/>
              </w:rPr>
            </w:pPr>
            <w:r>
              <w:rPr>
                <w:noProof/>
              </w:rPr>
              <w:t>03.12.2019</w:t>
            </w:r>
          </w:p>
        </w:tc>
      </w:tr>
      <w:tr w:rsidR="00F27034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034" w:rsidRPr="00883A9B" w:rsidRDefault="00F27034">
            <w:pPr>
              <w:rPr>
                <w:noProof/>
              </w:rPr>
            </w:pPr>
            <w:r w:rsidRPr="00883A9B">
              <w:rPr>
                <w:noProof/>
              </w:rPr>
              <w:t>Kõrvaleriala nimetus eesti keeles</w:t>
            </w:r>
          </w:p>
          <w:p w:rsidR="00F27034" w:rsidRPr="00883A9B" w:rsidRDefault="00F27034">
            <w:pPr>
              <w:pStyle w:val="Pealkiri1"/>
              <w:rPr>
                <w:noProof/>
              </w:rPr>
            </w:pPr>
            <w:r w:rsidRPr="00883A9B">
              <w:rPr>
                <w:b/>
                <w:noProof/>
              </w:rPr>
              <w:t>SPANISH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034" w:rsidRPr="00883A9B" w:rsidRDefault="00F27034">
            <w:pPr>
              <w:jc w:val="center"/>
              <w:rPr>
                <w:noProof/>
              </w:rPr>
            </w:pPr>
            <w:r w:rsidRPr="00883A9B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</w:tr>
      <w:tr w:rsidR="004479A6" w:rsidRPr="00883A9B" w:rsidTr="00F27034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Maht ainepunktides: 48 EAP</w:t>
            </w: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kuulaja võtab kahe õppeaasta jooksul osa kõrvaleriala õppetööst.</w:t>
            </w:r>
            <w:r w:rsidR="006A1BA3" w:rsidRPr="00953DFF">
              <w:rPr>
                <w:noProof/>
              </w:rPr>
              <w:t xml:space="preserve"> </w:t>
            </w:r>
            <w:r w:rsidR="006A1BA3" w:rsidRPr="00953DFF">
              <w:t>Üliõpilane liitub keeleõppega endale sobival keeletasemel ja läbib neli keelekursust ning lõpetab kas keeletasemel B1</w:t>
            </w:r>
            <w:r w:rsidR="00776D23">
              <w:t>.2</w:t>
            </w:r>
            <w:r w:rsidR="006A1BA3" w:rsidRPr="00953DFF">
              <w:t>, B2</w:t>
            </w:r>
            <w:r w:rsidR="00776D23">
              <w:t>.2</w:t>
            </w:r>
            <w:r w:rsidR="006A1BA3" w:rsidRPr="00953DFF">
              <w:t xml:space="preserve"> või C1</w:t>
            </w:r>
            <w:r w:rsidR="00776D23">
              <w:t>.2</w:t>
            </w:r>
            <w:r w:rsidR="006A1BA3" w:rsidRPr="00953DFF">
              <w:t>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Lõpetamise tingimused: õppekava läbimine.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F27034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Õppekava kuraator, kontaktandmed: Merilin Kotta </w:t>
            </w:r>
            <w:hyperlink r:id="rId5">
              <w:r w:rsidRPr="00953DFF">
                <w:rPr>
                  <w:noProof/>
                  <w:color w:val="0000FF"/>
                  <w:u w:val="single"/>
                </w:rPr>
                <w:t>merilin.kotta@tlu.ee</w:t>
              </w:r>
            </w:hyperlink>
            <w:r w:rsidRPr="00953DFF">
              <w:rPr>
                <w:noProof/>
              </w:rPr>
              <w:t xml:space="preserve">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4479A6" w:rsidRPr="00953DFF" w:rsidRDefault="004479A6">
            <w:pPr>
              <w:rPr>
                <w:noProof/>
              </w:rPr>
            </w:pPr>
          </w:p>
        </w:tc>
      </w:tr>
    </w:tbl>
    <w:p w:rsidR="004479A6" w:rsidRPr="00953DFF" w:rsidRDefault="004479A6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211"/>
        <w:gridCol w:w="1399"/>
        <w:gridCol w:w="5108"/>
        <w:gridCol w:w="710"/>
        <w:gridCol w:w="1336"/>
        <w:gridCol w:w="252"/>
        <w:gridCol w:w="25"/>
        <w:gridCol w:w="15"/>
        <w:gridCol w:w="25"/>
      </w:tblGrid>
      <w:tr w:rsidR="004479A6" w:rsidRPr="00953DFF" w:rsidTr="00D57A4B">
        <w:tc>
          <w:tcPr>
            <w:tcW w:w="25" w:type="dxa"/>
          </w:tcPr>
          <w:p w:rsidR="004479A6" w:rsidRPr="00953DFF" w:rsidRDefault="004479A6">
            <w:pPr>
              <w:jc w:val="center"/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rFonts w:ascii="Cambria" w:eastAsia="Cambria" w:hAnsi="Cambria" w:cs="Cambria"/>
                <w:noProof/>
              </w:rPr>
              <w:t xml:space="preserve">Eesmärk: 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eeldused hispaania ühiskonna ja kultuuri arengudünaamika mõistmiseks;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luua võimalused hispaania kultuuri ja ühiskonnaga seotud probleemide määratlemiseks, kriitiliseks analüüsiks ja iseseisvaks uurimiseks.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toetada hispaania keele omandamist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953DFF" w:rsidTr="00D57A4B">
        <w:tc>
          <w:tcPr>
            <w:tcW w:w="25" w:type="dxa"/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Õpiväljundid: 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Kõrvaleriala läbinud üliõpilane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omab süsteemset ülevaadet hispaania ühiskonna ja kultuuri arengudünaamikast;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on teadlik hispaania ühiskonna ja kultuuriga seotud aktuaalsetest küsimustest ja omab teoreetilisi ning metodoloogilisi vahendeid nende iseseisvaks uurimiseks;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4479A6" w:rsidRPr="00953DFF" w:rsidRDefault="00DC41D7">
            <w:pPr>
              <w:rPr>
                <w:noProof/>
              </w:rPr>
            </w:pPr>
            <w:r w:rsidRPr="00953DFF">
              <w:rPr>
                <w:noProof/>
              </w:rPr>
              <w:t xml:space="preserve">- on omandanud hispaania keele </w:t>
            </w:r>
            <w:r w:rsidR="006A1BA3" w:rsidRPr="00953DFF">
              <w:rPr>
                <w:noProof/>
              </w:rPr>
              <w:t xml:space="preserve">vähemalt </w:t>
            </w:r>
            <w:r w:rsidRPr="00953DFF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4479A6" w:rsidRPr="00953DFF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953DFF" w:rsidRDefault="004479A6">
            <w:pPr>
              <w:rPr>
                <w:noProof/>
              </w:rPr>
            </w:pPr>
          </w:p>
        </w:tc>
      </w:tr>
      <w:tr w:rsidR="004479A6" w:rsidRPr="00883A9B">
        <w:trPr>
          <w:gridAfter w:val="1"/>
          <w:wAfter w:w="25" w:type="dxa"/>
          <w:trHeight w:val="280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4479A6" w:rsidRPr="00883A9B" w:rsidRDefault="00DC41D7">
            <w:pPr>
              <w:rPr>
                <w:noProof/>
              </w:rPr>
            </w:pPr>
            <w:r w:rsidRPr="00953DFF">
              <w:rPr>
                <w:noProof/>
              </w:rPr>
              <w:t>Mooduli hindamine: Moodulit hinnatakse õppeainepõhiselt</w:t>
            </w:r>
            <w:r w:rsidRPr="00883A9B">
              <w:rPr>
                <w:noProof/>
              </w:rPr>
              <w:t xml:space="preserve">  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4479A6" w:rsidRPr="00883A9B" w:rsidRDefault="004479A6">
            <w:pPr>
              <w:rPr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5" w:type="dxa"/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Ainekood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</w:rPr>
              <w:t>Õppeaine nimetus</w:t>
            </w:r>
          </w:p>
          <w:p w:rsidR="004479A6" w:rsidRPr="00883A9B" w:rsidRDefault="004479A6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4479A6" w:rsidRPr="00883A9B" w:rsidRDefault="004479A6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9A6" w:rsidRPr="00883A9B" w:rsidRDefault="00DC41D7">
            <w:pPr>
              <w:spacing w:before="120"/>
              <w:jc w:val="center"/>
              <w:rPr>
                <w:noProof/>
              </w:rPr>
            </w:pPr>
            <w:r w:rsidRPr="00883A9B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rPr>
                <w:noProof/>
              </w:rPr>
            </w:pP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 w:rsidP="006A1BA3">
            <w:pPr>
              <w:jc w:val="center"/>
              <w:rPr>
                <w:b/>
                <w:noProof/>
              </w:rPr>
            </w:pPr>
            <w:r w:rsidRPr="006A1BA3">
              <w:rPr>
                <w:b/>
                <w:noProof/>
              </w:rPr>
              <w:t>Valikained, valida 24</w:t>
            </w:r>
            <w:r>
              <w:rPr>
                <w:b/>
                <w:noProof/>
              </w:rPr>
              <w:t xml:space="preserve"> EAP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>
            <w:pPr>
              <w:jc w:val="center"/>
              <w:rPr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LCS6312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  <w:trHeight w:val="260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LCS6324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LCS6322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B2.2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rPr>
                <w:noProof/>
              </w:rPr>
            </w:pPr>
            <w:r>
              <w:rPr>
                <w:noProof/>
              </w:rPr>
              <w:t>LCS6332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Default="006A1BA3" w:rsidP="006A1BA3">
            <w:r w:rsidRPr="0080376D">
              <w:rPr>
                <w:noProof/>
              </w:rPr>
              <w:t xml:space="preserve">Hispaania keel </w:t>
            </w:r>
            <w:r>
              <w:rPr>
                <w:noProof/>
              </w:rPr>
              <w:t>C1.2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883A9B" w:rsidRDefault="006A1BA3" w:rsidP="006A1BA3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6A1BA3" w:rsidRPr="006A1BA3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rPr>
                <w:b/>
                <w:noProof/>
              </w:rPr>
            </w:pPr>
            <w:r w:rsidRPr="006A1BA3">
              <w:rPr>
                <w:b/>
                <w:noProof/>
              </w:rPr>
              <w:t>Kohustuslikud ained 24 EAP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A1BA3" w:rsidRPr="006A1BA3" w:rsidRDefault="006A1BA3">
            <w:pPr>
              <w:jc w:val="center"/>
              <w:rPr>
                <w:b/>
                <w:noProof/>
              </w:rPr>
            </w:pP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ajalugu, ühiskond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953DFF" w:rsidP="00953DF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="00DC41D7" w:rsidRPr="00883A9B">
              <w:rPr>
                <w:noProof/>
              </w:rPr>
              <w:t xml:space="preserve"> Hispaania kujunemine 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kirjanduse suured raamatud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  <w:tr w:rsidR="004479A6" w:rsidRPr="00883A9B" w:rsidTr="00D57A4B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GRR6744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rPr>
                <w:noProof/>
              </w:rPr>
            </w:pPr>
            <w:r w:rsidRPr="00883A9B">
              <w:rPr>
                <w:noProof/>
              </w:rPr>
              <w:t>Hispaania teater ja filmikunst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4479A6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479A6" w:rsidRPr="00883A9B" w:rsidRDefault="00DC41D7">
            <w:pPr>
              <w:jc w:val="center"/>
              <w:rPr>
                <w:noProof/>
              </w:rPr>
            </w:pPr>
            <w:r w:rsidRPr="00883A9B">
              <w:rPr>
                <w:noProof/>
              </w:rPr>
              <w:t>6</w:t>
            </w:r>
          </w:p>
        </w:tc>
      </w:tr>
    </w:tbl>
    <w:p w:rsidR="004479A6" w:rsidRPr="00883A9B" w:rsidRDefault="004479A6">
      <w:pPr>
        <w:rPr>
          <w:noProof/>
        </w:rPr>
      </w:pPr>
      <w:bookmarkStart w:id="1" w:name="h.6ays5izbjiku" w:colFirst="0" w:colLast="0"/>
      <w:bookmarkEnd w:id="1"/>
    </w:p>
    <w:p w:rsidR="004479A6" w:rsidRPr="00883A9B" w:rsidRDefault="00883A9B" w:rsidP="00087C50">
      <w:pPr>
        <w:rPr>
          <w:noProof/>
        </w:rPr>
      </w:pPr>
      <w:r w:rsidRPr="00883A9B">
        <w:rPr>
          <w:noProof/>
        </w:rPr>
        <w:br w:type="column"/>
      </w:r>
      <w:bookmarkStart w:id="2" w:name="h.gjdgxs" w:colFirst="0" w:colLast="0"/>
      <w:bookmarkEnd w:id="2"/>
      <w:r w:rsidR="00087C50" w:rsidRPr="00883A9B">
        <w:rPr>
          <w:noProof/>
        </w:rPr>
        <w:lastRenderedPageBreak/>
        <w:t xml:space="preserve"> </w:t>
      </w:r>
    </w:p>
    <w:sectPr w:rsidR="004479A6" w:rsidRPr="00883A9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56F"/>
    <w:multiLevelType w:val="multilevel"/>
    <w:tmpl w:val="EA64A07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21573E"/>
    <w:multiLevelType w:val="multilevel"/>
    <w:tmpl w:val="737AA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92140FD"/>
    <w:multiLevelType w:val="multilevel"/>
    <w:tmpl w:val="C20862B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DF41750"/>
    <w:multiLevelType w:val="multilevel"/>
    <w:tmpl w:val="02166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6E76FD3"/>
    <w:multiLevelType w:val="multilevel"/>
    <w:tmpl w:val="94FE66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777514D"/>
    <w:multiLevelType w:val="multilevel"/>
    <w:tmpl w:val="6CA2F5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3467190"/>
    <w:multiLevelType w:val="multilevel"/>
    <w:tmpl w:val="F10862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4196886"/>
    <w:multiLevelType w:val="multilevel"/>
    <w:tmpl w:val="5E0694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A6"/>
    <w:rsid w:val="00056675"/>
    <w:rsid w:val="00087C50"/>
    <w:rsid w:val="000C4E23"/>
    <w:rsid w:val="001F5D72"/>
    <w:rsid w:val="00355D08"/>
    <w:rsid w:val="004479A6"/>
    <w:rsid w:val="006A1BA3"/>
    <w:rsid w:val="006B2DD5"/>
    <w:rsid w:val="00776D23"/>
    <w:rsid w:val="00883A9B"/>
    <w:rsid w:val="0091501B"/>
    <w:rsid w:val="00953DFF"/>
    <w:rsid w:val="00B42A90"/>
    <w:rsid w:val="00D57A4B"/>
    <w:rsid w:val="00DC41D7"/>
    <w:rsid w:val="00F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4EFA4-DD98-43BD-A888-3ED92B54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lin.kotta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2</cp:revision>
  <dcterms:created xsi:type="dcterms:W3CDTF">2020-04-27T12:19:00Z</dcterms:created>
  <dcterms:modified xsi:type="dcterms:W3CDTF">2020-04-27T12:19:00Z</dcterms:modified>
</cp:coreProperties>
</file>