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F9" w:rsidRPr="007A61C3" w:rsidRDefault="00C56777">
      <w:pPr>
        <w:ind w:left="2" w:hanging="4"/>
        <w:jc w:val="center"/>
        <w:rPr>
          <w:noProof/>
          <w:sz w:val="40"/>
          <w:szCs w:val="40"/>
        </w:rPr>
      </w:pPr>
      <w:r w:rsidRPr="007A61C3">
        <w:rPr>
          <w:b/>
          <w:noProof/>
          <w:sz w:val="40"/>
          <w:szCs w:val="40"/>
        </w:rPr>
        <w:t>TALLINNA ÜLIKOOL</w:t>
      </w:r>
    </w:p>
    <w:p w:rsidR="00870FF9" w:rsidRPr="007A61C3" w:rsidRDefault="00870FF9">
      <w:pPr>
        <w:ind w:left="0" w:hanging="2"/>
        <w:rPr>
          <w:noProof/>
        </w:rPr>
      </w:pPr>
    </w:p>
    <w:p w:rsidR="00870FF9" w:rsidRPr="007A61C3" w:rsidRDefault="00870FF9">
      <w:pPr>
        <w:ind w:left="0" w:hanging="2"/>
        <w:rPr>
          <w:noProof/>
        </w:rPr>
      </w:pPr>
    </w:p>
    <w:tbl>
      <w:tblPr>
        <w:tblStyle w:val="a7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88"/>
        <w:gridCol w:w="2270"/>
      </w:tblGrid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 xml:space="preserve">Akadeemiline üksus: </w:t>
            </w:r>
            <w:r w:rsidRPr="007A61C3">
              <w:rPr>
                <w:b/>
                <w:noProof/>
              </w:rPr>
              <w:t>Loodus- ja terviseteaduse instituut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870FF9" w:rsidRPr="007A61C3">
        <w:trPr>
          <w:trHeight w:val="425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Kõrvaleriala nimetus eesti keeles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rPr>
                <w:noProof/>
                <w:sz w:val="16"/>
                <w:szCs w:val="16"/>
              </w:rPr>
            </w:pPr>
          </w:p>
        </w:tc>
      </w:tr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INIMESEÕPETUS</w:t>
            </w:r>
          </w:p>
          <w:p w:rsidR="00870FF9" w:rsidRPr="007A61C3" w:rsidRDefault="00870FF9">
            <w:pPr>
              <w:ind w:left="0" w:hanging="2"/>
              <w:rPr>
                <w:noProof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2024</w:t>
            </w:r>
          </w:p>
        </w:tc>
      </w:tr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C56777">
            <w:pPr>
              <w:pStyle w:val="Pealkiri1"/>
              <w:keepNext/>
              <w:ind w:left="0" w:hanging="2"/>
              <w:rPr>
                <w:noProof/>
              </w:rPr>
            </w:pPr>
            <w:r w:rsidRPr="007A61C3">
              <w:rPr>
                <w:noProof/>
              </w:rPr>
              <w:t>Kõrvaleriala nimetus inglise keeles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  <w:sz w:val="16"/>
                <w:szCs w:val="16"/>
              </w:rPr>
            </w:pPr>
            <w:r w:rsidRPr="007A61C3">
              <w:rPr>
                <w:noProof/>
                <w:sz w:val="16"/>
                <w:szCs w:val="16"/>
              </w:rPr>
              <w:t>(kinnitatud instituudi nõukogus)</w:t>
            </w:r>
          </w:p>
        </w:tc>
      </w:tr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pStyle w:val="Pealkiri1"/>
              <w:keepNext/>
              <w:ind w:left="0" w:hanging="2"/>
              <w:rPr>
                <w:noProof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Default="00C56777">
            <w:pPr>
              <w:pStyle w:val="Pealkiri1"/>
              <w:keepNext/>
              <w:ind w:left="0" w:hanging="2"/>
              <w:rPr>
                <w:b/>
                <w:noProof/>
              </w:rPr>
            </w:pPr>
            <w:r w:rsidRPr="007A61C3">
              <w:rPr>
                <w:b/>
                <w:noProof/>
              </w:rPr>
              <w:t>HUMAN STUDIES</w:t>
            </w:r>
          </w:p>
          <w:p w:rsidR="00905E9F" w:rsidRPr="00905E9F" w:rsidRDefault="00905E9F" w:rsidP="00905E9F">
            <w:pPr>
              <w:ind w:left="0" w:hanging="2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905E9F" w:rsidRPr="007A61C3" w:rsidTr="008274CD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9F" w:rsidRPr="007A61C3" w:rsidRDefault="00905E9F" w:rsidP="008274CD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Maht EAP-des: 48</w:t>
            </w:r>
          </w:p>
        </w:tc>
      </w:tr>
      <w:tr w:rsidR="00905E9F" w:rsidRPr="007A61C3" w:rsidTr="008274CD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9F" w:rsidRPr="007A61C3" w:rsidRDefault="00905E9F" w:rsidP="008274CD">
            <w:pPr>
              <w:ind w:left="0" w:hanging="2"/>
              <w:rPr>
                <w:noProof/>
              </w:rPr>
            </w:pPr>
            <w:r w:rsidRPr="005F5E40">
              <w:rPr>
                <w:noProof/>
              </w:rPr>
              <w:t xml:space="preserve">Õppekavaversioon, kuhu kõrvaleriala kuulub: </w:t>
            </w:r>
            <w:r>
              <w:rPr>
                <w:noProof/>
              </w:rPr>
              <w:t>PSPSB</w:t>
            </w:r>
            <w:r w:rsidRPr="005F5E40">
              <w:rPr>
                <w:noProof/>
              </w:rPr>
              <w:t>/2</w:t>
            </w:r>
            <w:r>
              <w:rPr>
                <w:noProof/>
              </w:rPr>
              <w:t>4</w:t>
            </w:r>
          </w:p>
        </w:tc>
      </w:tr>
      <w:tr w:rsidR="00905E9F" w:rsidRPr="007A61C3" w:rsidTr="008274CD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9F" w:rsidRPr="007A61C3" w:rsidRDefault="00905E9F" w:rsidP="008274CD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Vastuvõtutingimused: õppimine bakalaureuseõppes või Avatud Ülikoolis</w:t>
            </w:r>
          </w:p>
        </w:tc>
      </w:tr>
      <w:tr w:rsidR="00905E9F" w:rsidRPr="007A61C3" w:rsidTr="008274CD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9F" w:rsidRPr="007A61C3" w:rsidRDefault="00905E9F" w:rsidP="008274CD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Lõpetamisel väljastatavad dokumendid: akadeemiline õiend</w:t>
            </w:r>
          </w:p>
        </w:tc>
      </w:tr>
      <w:tr w:rsidR="00870FF9" w:rsidRPr="007A61C3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rPr>
                <w:noProof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870FF9" w:rsidRPr="007A61C3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8B4987">
            <w:pPr>
              <w:ind w:left="0" w:hanging="2"/>
              <w:rPr>
                <w:noProof/>
              </w:rPr>
            </w:pPr>
            <w:r>
              <w:rPr>
                <w:noProof/>
              </w:rPr>
              <w:t>K</w:t>
            </w:r>
            <w:r w:rsidR="00C56777" w:rsidRPr="007A61C3">
              <w:rPr>
                <w:noProof/>
              </w:rPr>
              <w:t xml:space="preserve">õrvaleriala üldeesmärgid: 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 Luua võimalused laiapõhjaliste teadmiste omandamiseks inimese psüühilisest, füüsilisest ja sotsiaalsest arengust, haiguste ja riskikäitumise etioloogiast ja ennetusvõimalustest.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-Kujundada tervislikke eluviise toetavaid väärtushinnanguid ja luua valmisolek nende edasiandmiseks/kujundamiseks tulevases professionaalses tegevuses.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 Luua võimalused teadmiste omandamiseks  pedagoogilistest sekkumistest.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-Valmistada ette spetsialiste, kes on peale õpetajakoolituse läbimist valmis põhikoolis kui ka gümnaasiumis õpetama inimeseõpetuse ainet</w:t>
            </w:r>
          </w:p>
          <w:p w:rsidR="00870FF9" w:rsidRPr="007A61C3" w:rsidRDefault="00870FF9">
            <w:pPr>
              <w:ind w:left="0" w:hanging="2"/>
              <w:rPr>
                <w:noProof/>
                <w:color w:val="FF0000"/>
              </w:rPr>
            </w:pPr>
          </w:p>
        </w:tc>
      </w:tr>
      <w:tr w:rsidR="00870FF9" w:rsidRPr="007A61C3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Kõrvaleriala üldised õpiväljundid: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 Üliõpilane on omandanud laiapõhjalised teadmised inimese psüühilisest, füüsilisest ja sotsiaalsest arengust, haiguste ja riskikäitumise etioloogiast ja ennetusvõimalustest.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-Üliõpilasel on kujunenud tervislikke eluviise toetavad väärtushinnangud ja tal on kujunenud valmisolek nende edasiandmiseks/kujundamiseks tulevases professionaalses tegevuses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 Üliõpilased on omandanud teadmised pedagoogilistest sekkumistest.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-Üliõpilane on võimeline peale õpetajakoolituseläbimist õpetama inimeseõpetuse ainet põhikoolis kui ka gümnaasiumis.</w:t>
            </w:r>
          </w:p>
        </w:tc>
      </w:tr>
      <w:tr w:rsidR="00870FF9" w:rsidRPr="007A61C3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 xml:space="preserve">Õppetöö korralduse lühikirjeldus. Õppetöö toimub päevaõppes loengute, seminaride, rühmatöö ja iseseisva töö vormis. 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bookmarkStart w:id="0" w:name="_heading=h.30j0zll" w:colFirst="0" w:colLast="0"/>
            <w:bookmarkEnd w:id="0"/>
            <w:r w:rsidRPr="007A61C3">
              <w:rPr>
                <w:noProof/>
              </w:rPr>
              <w:t>Kõrvaleriala läbimise eeldusaineks PSP6066.LT Üld- ja sotsiaalpsühholoogia</w:t>
            </w:r>
          </w:p>
        </w:tc>
      </w:tr>
      <w:tr w:rsidR="00870FF9" w:rsidRPr="007A61C3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Kõrvaleriala juht/kontaktandmed: Kadi Liik, MSc; kadi.liik@tlu.ee</w:t>
            </w:r>
          </w:p>
        </w:tc>
      </w:tr>
    </w:tbl>
    <w:p w:rsidR="00870FF9" w:rsidRPr="007A61C3" w:rsidRDefault="00870FF9">
      <w:pPr>
        <w:ind w:left="0" w:hanging="2"/>
        <w:rPr>
          <w:noProof/>
        </w:rPr>
      </w:pPr>
    </w:p>
    <w:p w:rsidR="00870FF9" w:rsidRPr="007A61C3" w:rsidRDefault="00870FF9">
      <w:pPr>
        <w:ind w:left="0" w:hanging="2"/>
        <w:rPr>
          <w:noProof/>
        </w:rPr>
      </w:pPr>
    </w:p>
    <w:p w:rsidR="00870FF9" w:rsidRPr="007A61C3" w:rsidRDefault="00C56777">
      <w:pPr>
        <w:ind w:left="0" w:hanging="2"/>
        <w:rPr>
          <w:noProof/>
        </w:rPr>
      </w:pPr>
      <w:r w:rsidRPr="007A61C3">
        <w:rPr>
          <w:b/>
          <w:noProof/>
        </w:rPr>
        <w:t>AINEMOODUL 1</w:t>
      </w:r>
    </w:p>
    <w:tbl>
      <w:tblPr>
        <w:tblStyle w:val="a8"/>
        <w:tblW w:w="8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49"/>
        <w:gridCol w:w="12"/>
        <w:gridCol w:w="5703"/>
        <w:gridCol w:w="15"/>
        <w:gridCol w:w="1290"/>
      </w:tblGrid>
      <w:tr w:rsidR="00870FF9" w:rsidRPr="007A61C3">
        <w:trPr>
          <w:trHeight w:val="284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 xml:space="preserve">Mooduli nimetus: </w:t>
            </w:r>
            <w:r w:rsidRPr="007A61C3">
              <w:rPr>
                <w:noProof/>
              </w:rPr>
              <w:t>Inimese psüühiline, füüsiline ja sotsiaalne areng ning riskikäitumise ennetamine.</w:t>
            </w:r>
          </w:p>
          <w:p w:rsidR="00870FF9" w:rsidRPr="007A61C3" w:rsidRDefault="00870FF9">
            <w:pPr>
              <w:ind w:left="0" w:hanging="2"/>
              <w:rPr>
                <w:noProof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Maht: 24 EAP</w:t>
            </w:r>
          </w:p>
        </w:tc>
      </w:tr>
      <w:tr w:rsidR="00870FF9" w:rsidRPr="007A61C3">
        <w:trPr>
          <w:trHeight w:val="475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Eesmärgid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Luua võimalused laiapõhjaliste teadmiste omandamiseks inimese psüühilisest, füüsilisest ja sotsiaalsest arengust, riskikäitumise etioloogiast ja ennetusvõimalustest ning pedagoogilistest sekkumistest.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 xml:space="preserve">Luua valmisolek omandatud teadmiste edasiandmiseks tulevases </w:t>
            </w:r>
            <w:r w:rsidRPr="007A61C3">
              <w:rPr>
                <w:noProof/>
              </w:rPr>
              <w:lastRenderedPageBreak/>
              <w:t>professionaalses tegevuses.</w:t>
            </w:r>
          </w:p>
        </w:tc>
      </w:tr>
      <w:tr w:rsidR="00870FF9" w:rsidRPr="007A61C3">
        <w:trPr>
          <w:trHeight w:val="439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lastRenderedPageBreak/>
              <w:t>Õpiväljundid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Üliõpilane on omandanud laiapõhjalised teadmised inimese psüühilisest, füüsilisest ja sotsiaalsest arengust, riskikäitumise etioloogiast ja ennetusvõimalustest ning pedagoogilistest sekkumistest.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Üliõpilasel on kujunenud valmisolek teadmiste edasiandmiseks tulevases professionaalses tegevuses.</w:t>
            </w:r>
          </w:p>
          <w:p w:rsidR="00870FF9" w:rsidRPr="007A61C3" w:rsidRDefault="00870FF9">
            <w:pPr>
              <w:ind w:left="0" w:hanging="2"/>
              <w:rPr>
                <w:noProof/>
              </w:rPr>
            </w:pPr>
          </w:p>
        </w:tc>
      </w:tr>
      <w:tr w:rsidR="00870FF9" w:rsidRPr="007A61C3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 xml:space="preserve">Mooduli hindamine: </w:t>
            </w:r>
            <w:r w:rsidRPr="007A61C3">
              <w:rPr>
                <w:noProof/>
              </w:rPr>
              <w:t xml:space="preserve"> hindamine toimub õppeainepõhiselt</w:t>
            </w:r>
          </w:p>
        </w:tc>
      </w:tr>
      <w:tr w:rsidR="00870FF9" w:rsidRPr="007A61C3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Õppeained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Kood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Õppeaine nimetus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Maht EAP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PSP6021.LT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 w:rsidP="002643CF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Pedagoogiline psühholoogia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PSP6047.LT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Suhtlemispsühholoogia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5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PSP6060.LT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Sissejuhatus psüühikasse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5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PSP6063.LT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Sõltuvuskäitumine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5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870FF9">
            <w:pPr>
              <w:ind w:left="0" w:hanging="2"/>
              <w:jc w:val="both"/>
              <w:rPr>
                <w:noProof/>
              </w:rPr>
            </w:pP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b/>
                <w:noProof/>
              </w:rPr>
              <w:t>Valikained 5 EAP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PSP6010.LT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Arengupsühholoogia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5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i/>
                <w:noProof/>
              </w:rPr>
              <w:t>PSP6066.LT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i/>
                <w:noProof/>
              </w:rPr>
              <w:t>Üld- ja sotsiaalpsühholoogia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6</w:t>
            </w:r>
          </w:p>
        </w:tc>
      </w:tr>
    </w:tbl>
    <w:p w:rsidR="00D825E9" w:rsidRPr="00065513" w:rsidRDefault="00D825E9" w:rsidP="00D825E9">
      <w:pPr>
        <w:ind w:left="0" w:hanging="2"/>
        <w:rPr>
          <w:noProof/>
        </w:rPr>
      </w:pPr>
      <w:r w:rsidRPr="00065513">
        <w:rPr>
          <w:i/>
          <w:noProof/>
        </w:rPr>
        <w:t>Valiku põhimõtted: Õppekavades, kus on kohustuslik aine KAI6013.HR Õppimine ja areng, valida PSP6066.LT Üld- ja sotsiaalpsühholooga.</w:t>
      </w:r>
    </w:p>
    <w:p w:rsidR="00870FF9" w:rsidRPr="007A61C3" w:rsidRDefault="00870FF9">
      <w:pPr>
        <w:ind w:left="0" w:hanging="2"/>
        <w:rPr>
          <w:noProof/>
        </w:rPr>
      </w:pPr>
    </w:p>
    <w:p w:rsidR="00870FF9" w:rsidRPr="007A61C3" w:rsidRDefault="00C56777">
      <w:pPr>
        <w:ind w:left="0" w:hanging="2"/>
        <w:rPr>
          <w:noProof/>
        </w:rPr>
      </w:pPr>
      <w:r w:rsidRPr="007A61C3">
        <w:rPr>
          <w:b/>
          <w:noProof/>
        </w:rPr>
        <w:t>AINEMOODUL 2</w:t>
      </w:r>
    </w:p>
    <w:p w:rsidR="00870FF9" w:rsidRPr="007A61C3" w:rsidRDefault="00870FF9">
      <w:pPr>
        <w:ind w:left="0" w:hanging="2"/>
        <w:rPr>
          <w:noProof/>
        </w:rPr>
      </w:pPr>
    </w:p>
    <w:tbl>
      <w:tblPr>
        <w:tblStyle w:val="a9"/>
        <w:tblW w:w="8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49"/>
        <w:gridCol w:w="12"/>
        <w:gridCol w:w="5703"/>
        <w:gridCol w:w="15"/>
        <w:gridCol w:w="1290"/>
      </w:tblGrid>
      <w:tr w:rsidR="00870FF9" w:rsidRPr="007A61C3">
        <w:trPr>
          <w:trHeight w:val="284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 xml:space="preserve">Mooduli nimetus: </w:t>
            </w:r>
            <w:r w:rsidRPr="007A61C3">
              <w:rPr>
                <w:noProof/>
              </w:rPr>
              <w:t xml:space="preserve"> Tervis ja tervise edendamine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Maht: 24 EAP</w:t>
            </w:r>
          </w:p>
        </w:tc>
      </w:tr>
      <w:tr w:rsidR="00870FF9" w:rsidRPr="007A61C3">
        <w:trPr>
          <w:trHeight w:val="475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Eesmärgid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Luua võimalused laiapõhjaliste teadmiste omandamiseks inimese anatoomiast ja füsioloogiat ning kognitiivsest arengust. Kujundada tervislikke eluviise toetavaid väärtushinnanguid ja luua valmisolek nende edasiandmiseks/kujundamiseks tulevases professionaalses tegevuses.</w:t>
            </w:r>
          </w:p>
        </w:tc>
      </w:tr>
      <w:tr w:rsidR="00870FF9" w:rsidRPr="007A61C3">
        <w:trPr>
          <w:trHeight w:val="439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Õpiväljundid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Üliõpilane on omandanud laiapõhjalised teadmised inimese anatoomiast ja füsioloogiat ning kognitiivsest arengust.</w:t>
            </w:r>
          </w:p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Üliõpilasel on kujunenud tervislikke eluviise toetavad väärtushinnangud ja tal on kujunenud valmisolek nende edasiandmiseks/kujundamiseks tulevases professionaalses tegevuses.</w:t>
            </w:r>
          </w:p>
        </w:tc>
      </w:tr>
      <w:tr w:rsidR="00870FF9" w:rsidRPr="007A61C3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 xml:space="preserve">Mooduli hindamine: </w:t>
            </w:r>
            <w:r w:rsidRPr="007A61C3">
              <w:rPr>
                <w:noProof/>
              </w:rPr>
              <w:t xml:space="preserve"> hindamine toimub õppeainepõhiselt</w:t>
            </w:r>
          </w:p>
        </w:tc>
      </w:tr>
      <w:tr w:rsidR="00870FF9" w:rsidRPr="007A61C3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b/>
                <w:noProof/>
              </w:rPr>
              <w:t>Õppeained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Kood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Õppeaine nimetus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Maht EAP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PSP6017.LT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Tervisepsühholoogia*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PSP6034.LT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Tervisekäitumine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PSP6039.LT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Õpioskused ja nende arendamine**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TST6003.LT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Inimese anatoomia ja füsioloogia***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TST6022.LT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Enamlevinud haigused ja nende vältimine. Esmaabi.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870FF9">
            <w:pPr>
              <w:ind w:left="0" w:hanging="2"/>
              <w:jc w:val="both"/>
              <w:rPr>
                <w:noProof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b/>
                <w:noProof/>
              </w:rPr>
              <w:t>Valikained 4 EAP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870FF9">
            <w:pPr>
              <w:ind w:left="0" w:hanging="2"/>
              <w:jc w:val="center"/>
              <w:rPr>
                <w:noProof/>
              </w:rPr>
            </w:pP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KUT6102.LT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Toitumise alused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  <w:tr w:rsidR="00870FF9" w:rsidRPr="007A61C3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TSK6138.LT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FF9" w:rsidRPr="007A61C3" w:rsidRDefault="00C56777">
            <w:pPr>
              <w:ind w:left="0" w:hanging="2"/>
              <w:jc w:val="both"/>
              <w:rPr>
                <w:noProof/>
              </w:rPr>
            </w:pPr>
            <w:r w:rsidRPr="007A61C3">
              <w:rPr>
                <w:noProof/>
              </w:rPr>
              <w:t>Liikumisharrastuse teooria ja metoodika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4</w:t>
            </w:r>
          </w:p>
        </w:tc>
      </w:tr>
    </w:tbl>
    <w:p w:rsidR="00870FF9" w:rsidRPr="00065513" w:rsidRDefault="00512026">
      <w:pPr>
        <w:ind w:left="0" w:hanging="2"/>
        <w:rPr>
          <w:i/>
          <w:color w:val="000000"/>
          <w:shd w:val="clear" w:color="auto" w:fill="FFFFFF"/>
        </w:rPr>
      </w:pPr>
      <w:r w:rsidRPr="00065513">
        <w:rPr>
          <w:i/>
          <w:color w:val="000000"/>
          <w:shd w:val="clear" w:color="auto" w:fill="FFFFFF"/>
        </w:rPr>
        <w:t>Üliõpilased valivad </w:t>
      </w:r>
      <w:hyperlink r:id="rId6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KUT6102.LT</w:t>
        </w:r>
      </w:hyperlink>
      <w:r w:rsidRPr="00065513">
        <w:rPr>
          <w:i/>
          <w:color w:val="000000"/>
          <w:shd w:val="clear" w:color="auto" w:fill="FFFFFF"/>
        </w:rPr>
        <w:t> Toitumise alused.</w:t>
      </w:r>
      <w:r w:rsidRPr="00065513">
        <w:rPr>
          <w:i/>
          <w:color w:val="000000"/>
        </w:rPr>
        <w:br/>
      </w:r>
      <w:r w:rsidRPr="00065513">
        <w:rPr>
          <w:i/>
          <w:color w:val="000000"/>
          <w:shd w:val="clear" w:color="auto" w:fill="FFFFFF"/>
        </w:rPr>
        <w:t xml:space="preserve">*Üliõpilased, kelle õppekavas või teises </w:t>
      </w:r>
      <w:proofErr w:type="spellStart"/>
      <w:r w:rsidRPr="00065513">
        <w:rPr>
          <w:i/>
          <w:color w:val="000000"/>
          <w:shd w:val="clear" w:color="auto" w:fill="FFFFFF"/>
        </w:rPr>
        <w:t>kõrvalerialas</w:t>
      </w:r>
      <w:proofErr w:type="spellEnd"/>
      <w:r w:rsidRPr="00065513">
        <w:rPr>
          <w:i/>
          <w:color w:val="000000"/>
          <w:shd w:val="clear" w:color="auto" w:fill="FFFFFF"/>
        </w:rPr>
        <w:t xml:space="preserve"> on </w:t>
      </w:r>
      <w:r w:rsidR="00065513">
        <w:rPr>
          <w:i/>
          <w:color w:val="000000"/>
          <w:shd w:val="clear" w:color="auto" w:fill="FFFFFF"/>
        </w:rPr>
        <w:t xml:space="preserve"> e</w:t>
      </w:r>
      <w:r w:rsidRPr="00065513">
        <w:rPr>
          <w:i/>
          <w:color w:val="000000"/>
          <w:shd w:val="clear" w:color="auto" w:fill="FFFFFF"/>
        </w:rPr>
        <w:t>rialaainetes </w:t>
      </w:r>
      <w:hyperlink r:id="rId7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KUT6102.LT</w:t>
        </w:r>
      </w:hyperlink>
      <w:r w:rsidRPr="00065513">
        <w:rPr>
          <w:i/>
          <w:color w:val="000000"/>
          <w:shd w:val="clear" w:color="auto" w:fill="FFFFFF"/>
        </w:rPr>
        <w:t> Toitumise alused, valivad </w:t>
      </w:r>
      <w:hyperlink r:id="rId8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TSK6108.LT</w:t>
        </w:r>
      </w:hyperlink>
      <w:r w:rsidRPr="00065513">
        <w:rPr>
          <w:i/>
          <w:color w:val="000000"/>
          <w:shd w:val="clear" w:color="auto" w:fill="FFFFFF"/>
        </w:rPr>
        <w:t xml:space="preserve"> Liikumisharrastuse teooria </w:t>
      </w:r>
      <w:r w:rsidRPr="00065513">
        <w:rPr>
          <w:i/>
          <w:color w:val="000000"/>
          <w:shd w:val="clear" w:color="auto" w:fill="FFFFFF"/>
        </w:rPr>
        <w:lastRenderedPageBreak/>
        <w:t>ja metoodika.</w:t>
      </w:r>
      <w:r w:rsidRPr="00065513">
        <w:rPr>
          <w:i/>
          <w:color w:val="000000"/>
        </w:rPr>
        <w:br/>
      </w:r>
      <w:r w:rsidRPr="00065513">
        <w:rPr>
          <w:i/>
          <w:color w:val="000000"/>
          <w:shd w:val="clear" w:color="auto" w:fill="FFFFFF"/>
        </w:rPr>
        <w:t>*Õppekavades, kus on kohustuslik aine </w:t>
      </w:r>
      <w:hyperlink r:id="rId9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TST6046.LT</w:t>
        </w:r>
      </w:hyperlink>
      <w:r w:rsidRPr="00065513">
        <w:rPr>
          <w:i/>
          <w:color w:val="000000"/>
          <w:shd w:val="clear" w:color="auto" w:fill="FFFFFF"/>
        </w:rPr>
        <w:t> Inimese anatoomia ja füsioloogia lühikursus või </w:t>
      </w:r>
      <w:hyperlink r:id="rId10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TST6003.LT</w:t>
        </w:r>
      </w:hyperlink>
      <w:r w:rsidRPr="00065513">
        <w:rPr>
          <w:i/>
          <w:color w:val="000000"/>
          <w:shd w:val="clear" w:color="auto" w:fill="FFFFFF"/>
        </w:rPr>
        <w:t> Inimese anatoomia ja füsioloogia, tuleb valida valikaine </w:t>
      </w:r>
      <w:hyperlink r:id="rId11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KUT6102.LT</w:t>
        </w:r>
      </w:hyperlink>
      <w:r w:rsidRPr="00065513">
        <w:rPr>
          <w:i/>
          <w:color w:val="000000"/>
          <w:shd w:val="clear" w:color="auto" w:fill="FFFFFF"/>
        </w:rPr>
        <w:t> Toitumise alused.</w:t>
      </w:r>
      <w:r w:rsidRPr="00065513">
        <w:rPr>
          <w:i/>
          <w:color w:val="000000"/>
        </w:rPr>
        <w:br/>
      </w:r>
      <w:r w:rsidRPr="00065513">
        <w:rPr>
          <w:i/>
          <w:color w:val="000000"/>
          <w:shd w:val="clear" w:color="auto" w:fill="FFFFFF"/>
        </w:rPr>
        <w:t>*Tervisepsühholoogia eeldusaineks on </w:t>
      </w:r>
      <w:hyperlink r:id="rId12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PSP6010.LT</w:t>
        </w:r>
      </w:hyperlink>
      <w:r w:rsidRPr="00065513">
        <w:rPr>
          <w:i/>
          <w:color w:val="000000"/>
          <w:shd w:val="clear" w:color="auto" w:fill="FFFFFF"/>
        </w:rPr>
        <w:t> Arengupsühholoogia</w:t>
      </w:r>
      <w:r w:rsidRPr="00065513">
        <w:rPr>
          <w:i/>
          <w:color w:val="000000"/>
        </w:rPr>
        <w:br/>
      </w:r>
      <w:r w:rsidRPr="00065513">
        <w:rPr>
          <w:i/>
          <w:color w:val="000000"/>
          <w:shd w:val="clear" w:color="auto" w:fill="FFFFFF"/>
        </w:rPr>
        <w:t>*Õpioskused ja nende arendamine eeldusaineks on </w:t>
      </w:r>
      <w:hyperlink r:id="rId13" w:tgtFrame="_blank" w:history="1">
        <w:r w:rsidRPr="00065513">
          <w:rPr>
            <w:i/>
            <w:color w:val="1155CC"/>
            <w:u w:val="single"/>
            <w:shd w:val="clear" w:color="auto" w:fill="FFFFFF"/>
          </w:rPr>
          <w:t>PSP6021.LT</w:t>
        </w:r>
      </w:hyperlink>
      <w:r w:rsidRPr="00065513">
        <w:rPr>
          <w:i/>
          <w:color w:val="000000"/>
          <w:shd w:val="clear" w:color="auto" w:fill="FFFFFF"/>
        </w:rPr>
        <w:t> Pedagoogiline psühholoogia.</w:t>
      </w:r>
    </w:p>
    <w:p w:rsidR="00512026" w:rsidRPr="007A61C3" w:rsidRDefault="00512026">
      <w:pPr>
        <w:ind w:left="0" w:hanging="2"/>
        <w:rPr>
          <w:noProof/>
          <w:color w:val="FF0000"/>
        </w:rPr>
      </w:pPr>
    </w:p>
    <w:p w:rsidR="00870FF9" w:rsidRPr="007A61C3" w:rsidRDefault="00C56777">
      <w:pPr>
        <w:ind w:left="0" w:hanging="2"/>
        <w:rPr>
          <w:b/>
          <w:noProof/>
          <w:color w:val="000000"/>
        </w:rPr>
      </w:pPr>
      <w:r w:rsidRPr="007A61C3">
        <w:rPr>
          <w:b/>
          <w:noProof/>
          <w:color w:val="000000"/>
        </w:rPr>
        <w:t>Magistriõppes lisandub ainedidaktika ja pedagoogiline praktika, 9 EAP</w:t>
      </w:r>
    </w:p>
    <w:p w:rsidR="00870FF9" w:rsidRPr="007A61C3" w:rsidRDefault="00C56777">
      <w:pPr>
        <w:ind w:left="0" w:hanging="2"/>
        <w:rPr>
          <w:b/>
          <w:noProof/>
          <w:color w:val="000000"/>
        </w:rPr>
      </w:pPr>
      <w:r w:rsidRPr="007A61C3">
        <w:rPr>
          <w:b/>
          <w:noProof/>
          <w:color w:val="000000"/>
        </w:rPr>
        <w:t xml:space="preserve">Ainedidaktika / praktika  moodul       9 EAP    </w:t>
      </w:r>
    </w:p>
    <w:p w:rsidR="00870FF9" w:rsidRPr="007A61C3" w:rsidRDefault="00870FF9">
      <w:pPr>
        <w:ind w:left="0" w:hanging="2"/>
        <w:rPr>
          <w:noProof/>
        </w:rPr>
      </w:pPr>
    </w:p>
    <w:tbl>
      <w:tblPr>
        <w:tblStyle w:val="aa"/>
        <w:tblW w:w="9062" w:type="dxa"/>
        <w:tblLayout w:type="fixed"/>
        <w:tblLook w:val="0400" w:firstRow="0" w:lastRow="0" w:firstColumn="0" w:lastColumn="0" w:noHBand="0" w:noVBand="1"/>
      </w:tblPr>
      <w:tblGrid>
        <w:gridCol w:w="1564"/>
        <w:gridCol w:w="6481"/>
        <w:gridCol w:w="1017"/>
      </w:tblGrid>
      <w:tr w:rsidR="00870FF9" w:rsidRPr="007A61C3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870FF9">
            <w:pPr>
              <w:widowControl/>
              <w:ind w:left="0" w:hanging="2"/>
              <w:rPr>
                <w:noProof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jc w:val="both"/>
              <w:rPr>
                <w:b/>
                <w:noProof/>
                <w:color w:val="000000"/>
              </w:rPr>
            </w:pPr>
            <w:r w:rsidRPr="007A61C3">
              <w:rPr>
                <w:b/>
                <w:noProof/>
                <w:color w:val="000000"/>
              </w:rPr>
              <w:t>Eesmärk:</w:t>
            </w:r>
          </w:p>
          <w:p w:rsidR="00870FF9" w:rsidRPr="007A61C3" w:rsidRDefault="00C56777" w:rsidP="00A7591A">
            <w:pPr>
              <w:pStyle w:val="Loendilik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noProof/>
              </w:rPr>
            </w:pPr>
            <w:r w:rsidRPr="007A61C3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inimeseõpetuse tundides, kujundada aine õpioskused.</w:t>
            </w:r>
          </w:p>
          <w:p w:rsidR="00870FF9" w:rsidRPr="007A61C3" w:rsidRDefault="00870FF9">
            <w:pPr>
              <w:ind w:left="0" w:hanging="2"/>
              <w:jc w:val="both"/>
              <w:rPr>
                <w:noProof/>
                <w:color w:val="000000"/>
              </w:rPr>
            </w:pPr>
          </w:p>
          <w:p w:rsidR="00870FF9" w:rsidRPr="007A61C3" w:rsidRDefault="00C56777">
            <w:pPr>
              <w:ind w:left="0" w:hanging="2"/>
              <w:rPr>
                <w:b/>
                <w:noProof/>
                <w:color w:val="000000"/>
              </w:rPr>
            </w:pPr>
            <w:r w:rsidRPr="007A61C3">
              <w:rPr>
                <w:b/>
                <w:noProof/>
                <w:color w:val="000000"/>
              </w:rPr>
              <w:t xml:space="preserve">Õpiväljundid: </w:t>
            </w:r>
          </w:p>
          <w:p w:rsidR="00870FF9" w:rsidRPr="007A61C3" w:rsidRDefault="00C56777" w:rsidP="00A7591A">
            <w:pPr>
              <w:pStyle w:val="Loendilik"/>
              <w:widowControl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noProof/>
                <w:color w:val="000000"/>
              </w:rPr>
            </w:pPr>
            <w:r w:rsidRPr="007A61C3">
              <w:rPr>
                <w:noProof/>
                <w:color w:val="000000"/>
              </w:rPr>
              <w:t>oskab kavandada ning eesmärgistada ainealast tegevust ning ainetundi;</w:t>
            </w:r>
          </w:p>
          <w:p w:rsidR="00870FF9" w:rsidRPr="007A61C3" w:rsidRDefault="00C56777" w:rsidP="00A7591A">
            <w:pPr>
              <w:pStyle w:val="Loendilik"/>
              <w:widowControl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b/>
                <w:noProof/>
                <w:color w:val="000000"/>
              </w:rPr>
            </w:pPr>
            <w:r w:rsidRPr="007A61C3">
              <w:rPr>
                <w:noProof/>
                <w:color w:val="000000"/>
              </w:rPr>
              <w:t>oskab rakendada kaasaegseid õpimeetodeid, -stiile ning vorme aineõpingutes;</w:t>
            </w:r>
          </w:p>
          <w:p w:rsidR="00870FF9" w:rsidRPr="007A61C3" w:rsidRDefault="00C56777" w:rsidP="00A7591A">
            <w:pPr>
              <w:pStyle w:val="Loendilik"/>
              <w:widowControl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b/>
                <w:noProof/>
                <w:color w:val="000000"/>
              </w:rPr>
            </w:pPr>
            <w:r w:rsidRPr="007A61C3">
              <w:rPr>
                <w:noProof/>
                <w:color w:val="000000"/>
              </w:rPr>
              <w:t>oskab rakendada ainedidaktilisi teadmisi ja oskusi inimeseõpetuse tundide läbiviimisel.</w:t>
            </w:r>
          </w:p>
          <w:p w:rsidR="00870FF9" w:rsidRPr="007A61C3" w:rsidRDefault="00870FF9">
            <w:pPr>
              <w:widowControl/>
              <w:ind w:left="0" w:hanging="2"/>
              <w:rPr>
                <w:noProof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870FF9">
            <w:pPr>
              <w:widowControl/>
              <w:ind w:left="0" w:hanging="2"/>
              <w:rPr>
                <w:noProof/>
              </w:rPr>
            </w:pPr>
          </w:p>
        </w:tc>
      </w:tr>
      <w:tr w:rsidR="00870FF9" w:rsidRPr="007A61C3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PSP7073. LT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Inimeseõpetuse didaktika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6</w:t>
            </w:r>
          </w:p>
        </w:tc>
      </w:tr>
      <w:tr w:rsidR="00870FF9" w:rsidRPr="007A61C3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PSP7074. LT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rPr>
                <w:noProof/>
              </w:rPr>
            </w:pPr>
            <w:r w:rsidRPr="007A61C3">
              <w:rPr>
                <w:noProof/>
              </w:rPr>
              <w:t>Pedagoogiline praktika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70FF9" w:rsidRPr="007A61C3" w:rsidRDefault="00C56777">
            <w:pPr>
              <w:ind w:left="0" w:hanging="2"/>
              <w:jc w:val="center"/>
              <w:rPr>
                <w:noProof/>
              </w:rPr>
            </w:pPr>
            <w:r w:rsidRPr="007A61C3">
              <w:rPr>
                <w:noProof/>
              </w:rPr>
              <w:t>3</w:t>
            </w:r>
          </w:p>
        </w:tc>
      </w:tr>
    </w:tbl>
    <w:p w:rsidR="00870FF9" w:rsidRPr="005550E3" w:rsidRDefault="00C56777">
      <w:pPr>
        <w:ind w:left="0" w:hanging="2"/>
        <w:rPr>
          <w:i/>
          <w:noProof/>
        </w:rPr>
      </w:pPr>
      <w:r w:rsidRPr="005550E3">
        <w:rPr>
          <w:i/>
          <w:noProof/>
        </w:rPr>
        <w:t>Valikute põhimõtted: Kõrvaleriala valinud üliõpilasel on moodul kohustuslik läbida kogu mahus.</w:t>
      </w:r>
    </w:p>
    <w:p w:rsidR="00870FF9" w:rsidRPr="007A61C3" w:rsidRDefault="00870FF9">
      <w:pPr>
        <w:ind w:left="0" w:hanging="2"/>
        <w:rPr>
          <w:noProof/>
        </w:rPr>
      </w:pPr>
      <w:bookmarkStart w:id="1" w:name="_GoBack"/>
      <w:bookmarkEnd w:id="1"/>
    </w:p>
    <w:sectPr w:rsidR="00870FF9" w:rsidRPr="007A61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385D"/>
    <w:multiLevelType w:val="multilevel"/>
    <w:tmpl w:val="0FC0A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0A737B"/>
    <w:multiLevelType w:val="multilevel"/>
    <w:tmpl w:val="08D06C6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C07140"/>
    <w:multiLevelType w:val="hybridMultilevel"/>
    <w:tmpl w:val="797CFD26"/>
    <w:lvl w:ilvl="0" w:tplc="967A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9"/>
    <w:rsid w:val="00065513"/>
    <w:rsid w:val="001B6BDD"/>
    <w:rsid w:val="002643CF"/>
    <w:rsid w:val="00371C08"/>
    <w:rsid w:val="00512026"/>
    <w:rsid w:val="005543E0"/>
    <w:rsid w:val="005550E3"/>
    <w:rsid w:val="0064726A"/>
    <w:rsid w:val="007A61C3"/>
    <w:rsid w:val="00870FF9"/>
    <w:rsid w:val="008B4987"/>
    <w:rsid w:val="00905E9F"/>
    <w:rsid w:val="00A7591A"/>
    <w:rsid w:val="00C56777"/>
    <w:rsid w:val="00CA26A2"/>
    <w:rsid w:val="00D825E9"/>
    <w:rsid w:val="00E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AECB5-73E6-45BA-8D7C-5C05426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allaadveeb">
    <w:name w:val="Normal (Web)"/>
    <w:basedOn w:val="Normaallaad"/>
    <w:uiPriority w:val="99"/>
    <w:rsid w:val="009D5468"/>
    <w:pPr>
      <w:widowControl/>
      <w:suppressAutoHyphens w:val="0"/>
      <w:autoSpaceDE/>
      <w:autoSpaceDN/>
      <w:adjustRightInd/>
      <w:spacing w:before="100" w:after="119" w:line="240" w:lineRule="auto"/>
      <w:ind w:leftChars="0" w:left="0" w:firstLineChars="0" w:firstLine="0"/>
      <w:textDirection w:val="lrTb"/>
      <w:textAlignment w:val="auto"/>
      <w:outlineLvl w:val="9"/>
    </w:pPr>
    <w:rPr>
      <w:rFonts w:eastAsia="Lucida Sans Unicode"/>
      <w:kern w:val="1"/>
      <w:position w:val="0"/>
    </w:rPr>
  </w:style>
  <w:style w:type="table" w:customStyle="1" w:styleId="a7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Normaaltabe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oendilik">
    <w:name w:val="List Paragraph"/>
    <w:basedOn w:val="Normaallaad"/>
    <w:uiPriority w:val="34"/>
    <w:qFormat/>
    <w:rsid w:val="00A7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k6108.lt/" TargetMode="External"/><Relationship Id="rId13" Type="http://schemas.openxmlformats.org/officeDocument/2006/relationships/hyperlink" Target="http://psp6021.lt/" TargetMode="External"/><Relationship Id="rId3" Type="http://schemas.openxmlformats.org/officeDocument/2006/relationships/styles" Target="styles.xml"/><Relationship Id="rId7" Type="http://schemas.openxmlformats.org/officeDocument/2006/relationships/hyperlink" Target="http://kut6102.lt/" TargetMode="External"/><Relationship Id="rId12" Type="http://schemas.openxmlformats.org/officeDocument/2006/relationships/hyperlink" Target="http://psp6010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t6102.lt/" TargetMode="External"/><Relationship Id="rId11" Type="http://schemas.openxmlformats.org/officeDocument/2006/relationships/hyperlink" Target="http://kut6102.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st6003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t6046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fNnBj9rgrElbTFQH9Vf31X5sw==">CgMxLjAyCWguMzBqMHpsbDgAciExUFp0MzlqT2E4MDRGWWN1UW5yWXEzTFF1aTMtSUc0NjA=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857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Maris</cp:lastModifiedBy>
  <cp:revision>12</cp:revision>
  <dcterms:created xsi:type="dcterms:W3CDTF">2024-04-09T07:40:00Z</dcterms:created>
  <dcterms:modified xsi:type="dcterms:W3CDTF">2025-02-17T10:34:00Z</dcterms:modified>
</cp:coreProperties>
</file>