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0" w:rsidRPr="00CE1AC0" w:rsidRDefault="00CE1AC0" w:rsidP="00CE1AC0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proofErr w:type="spellStart"/>
      <w:r w:rsidRPr="00CE1AC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Plagiaat</w:t>
      </w:r>
      <w:proofErr w:type="spellEnd"/>
      <w:r w:rsidRPr="00CE1AC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CE1AC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ja</w:t>
      </w:r>
      <w:proofErr w:type="spellEnd"/>
      <w:proofErr w:type="gramEnd"/>
      <w:r w:rsidRPr="00CE1AC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E1AC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selle</w:t>
      </w:r>
      <w:proofErr w:type="spellEnd"/>
      <w:r w:rsidRPr="00CE1AC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E1AC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vältimine</w:t>
      </w:r>
      <w:proofErr w:type="spellEnd"/>
    </w:p>
    <w:p w:rsidR="00CE1AC0" w:rsidRDefault="00CE1AC0" w:rsidP="00CE1AC0">
      <w:pPr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CE1AC0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URKUND</w:t>
        </w:r>
      </w:hyperlink>
      <w:r w:rsidRPr="00CE1AC0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CE1AC0" w:rsidRPr="00CE1AC0" w:rsidRDefault="00CE1AC0" w:rsidP="00CE1A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Märtsis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2018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lõpetas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pooleaastase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tegevuse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plagiaadiküsimuste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töö</w:t>
      </w:r>
      <w:r w:rsidRPr="00CE1AC0">
        <w:rPr>
          <w:rFonts w:ascii="Arial" w:hAnsi="Arial" w:cs="Arial"/>
          <w:color w:val="222222"/>
          <w:sz w:val="22"/>
          <w:szCs w:val="22"/>
        </w:rPr>
        <w:t>rühm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mille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kokkukutsumine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tulenes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2017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kevadsemestril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lõputööde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kaitsmiste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käigus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väljatulnud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kuuest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plagiaadijuhtumist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Töögrupile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anti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ülesanne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analüüsida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praegust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olukorda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teha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ettepanekuid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instituutideülese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lähenemise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ühtlustamiseks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Ülikoolis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õpetatavad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erialad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katavad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laia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spektrit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seetõttu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alustati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kõigile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sobiva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plagiaadidefinitsiooni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otsimisega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Väljavalituks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osutus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1AC0">
        <w:rPr>
          <w:rFonts w:ascii="Arial" w:hAnsi="Arial" w:cs="Arial"/>
          <w:color w:val="1155CC"/>
          <w:sz w:val="22"/>
          <w:szCs w:val="22"/>
          <w:u w:val="single"/>
        </w:rPr>
        <w:fldChar w:fldCharType="begin"/>
      </w:r>
      <w:r w:rsidRPr="00CE1AC0">
        <w:rPr>
          <w:rFonts w:ascii="Arial" w:hAnsi="Arial" w:cs="Arial"/>
          <w:color w:val="1155CC"/>
          <w:sz w:val="22"/>
          <w:szCs w:val="22"/>
          <w:u w:val="single"/>
        </w:rPr>
        <w:instrText xml:space="preserve"> HYPERLINK "http://www.akadeemia.ee/_repository/file/AKADEEMIA/Eetikakoodeks_2017.pdf" \t "_blank" </w:instrText>
      </w:r>
      <w:r w:rsidRPr="00CE1AC0">
        <w:rPr>
          <w:rFonts w:ascii="Arial" w:hAnsi="Arial" w:cs="Arial"/>
          <w:color w:val="1155CC"/>
          <w:sz w:val="22"/>
          <w:szCs w:val="22"/>
          <w:u w:val="single"/>
        </w:rPr>
      </w:r>
      <w:r w:rsidRPr="00CE1AC0">
        <w:rPr>
          <w:rFonts w:ascii="Arial" w:hAnsi="Arial" w:cs="Arial"/>
          <w:color w:val="1155CC"/>
          <w:sz w:val="22"/>
          <w:szCs w:val="22"/>
          <w:u w:val="single"/>
        </w:rPr>
        <w:fldChar w:fldCharType="separate"/>
      </w:r>
      <w:proofErr w:type="spellStart"/>
      <w:r w:rsidRPr="00CE1AC0">
        <w:rPr>
          <w:rFonts w:ascii="Arial" w:hAnsi="Arial" w:cs="Arial"/>
          <w:color w:val="0000FF"/>
          <w:sz w:val="22"/>
          <w:szCs w:val="22"/>
        </w:rPr>
        <w:t>Euroopa</w:t>
      </w:r>
      <w:proofErr w:type="spellEnd"/>
      <w:r w:rsidRPr="00CE1AC0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</w:rPr>
        <w:t>teadlaste</w:t>
      </w:r>
      <w:proofErr w:type="spellEnd"/>
      <w:r w:rsidRPr="00CE1AC0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</w:rPr>
        <w:t>eetikakoodeksi</w:t>
      </w:r>
      <w:proofErr w:type="spellEnd"/>
      <w:r w:rsidRPr="00CE1AC0">
        <w:rPr>
          <w:rFonts w:ascii="Arial" w:hAnsi="Arial" w:cs="Arial"/>
          <w:color w:val="1155CC"/>
          <w:sz w:val="22"/>
          <w:szCs w:val="22"/>
          <w:u w:val="single"/>
        </w:rPr>
        <w:fldChar w:fldCharType="end"/>
      </w:r>
      <w:r w:rsidRPr="00CE1AC0">
        <w:rPr>
          <w:rFonts w:ascii="Arial" w:hAnsi="Arial" w:cs="Arial"/>
          <w:color w:val="1155CC"/>
          <w:sz w:val="22"/>
          <w:szCs w:val="22"/>
          <w:u w:val="single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määratlus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mille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kohaselt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plagieerimine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teiste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inimeste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tööde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ja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ideede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kasutamine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originaaltööle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korrektselt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viitamata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seeläbi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rikkudes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esmaautori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(</w:t>
      </w:r>
      <w:proofErr w:type="spellStart"/>
      <w:proofErr w:type="gram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te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)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õigust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oma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intellektuaalse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loomingu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tulemustele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.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Oluline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teadvustada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et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intellektuaalne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looming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väljendu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mitte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ainult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tekstidena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vaid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visuaalse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helilise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materjalina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joonised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pildid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muusika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jms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)!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Kes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teemast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sügavamalt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huvitatud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saab</w:t>
      </w:r>
      <w:proofErr w:type="spellEnd"/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omaenda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plagiaadialaseid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teadmisi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testida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näiteks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URKUNDi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kodulehel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r w:rsidRPr="00CE1AC0">
        <w:rPr>
          <w:rFonts w:ascii="Arial" w:hAnsi="Arial" w:cs="Arial"/>
          <w:color w:val="222222"/>
          <w:sz w:val="22"/>
          <w:szCs w:val="22"/>
        </w:rPr>
        <w:fldChar w:fldCharType="begin"/>
      </w:r>
      <w:r w:rsidRPr="00CE1AC0">
        <w:rPr>
          <w:rFonts w:ascii="Arial" w:hAnsi="Arial" w:cs="Arial"/>
          <w:color w:val="222222"/>
          <w:sz w:val="22"/>
          <w:szCs w:val="22"/>
        </w:rPr>
        <w:instrText xml:space="preserve"> HYPERLINK "https://secure.urkund.com/static/manuals/URKUND_Plagiarism_Handbook_EN.pdf" \t "_blank" </w:instrText>
      </w:r>
      <w:r w:rsidRPr="00CE1AC0">
        <w:rPr>
          <w:rFonts w:ascii="Arial" w:hAnsi="Arial" w:cs="Arial"/>
          <w:color w:val="222222"/>
          <w:sz w:val="22"/>
          <w:szCs w:val="22"/>
        </w:rPr>
      </w:r>
      <w:r w:rsidRPr="00CE1AC0">
        <w:rPr>
          <w:rFonts w:ascii="Arial" w:hAnsi="Arial" w:cs="Arial"/>
          <w:color w:val="222222"/>
          <w:sz w:val="22"/>
          <w:szCs w:val="22"/>
        </w:rPr>
        <w:fldChar w:fldCharType="separate"/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vt.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lingitud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materjali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lk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>. 5</w:t>
      </w:r>
      <w:r w:rsidRPr="00CE1AC0">
        <w:rPr>
          <w:rFonts w:ascii="Arial" w:hAnsi="Arial" w:cs="Arial"/>
          <w:color w:val="222222"/>
          <w:sz w:val="22"/>
          <w:szCs w:val="22"/>
        </w:rPr>
        <w:fldChar w:fldCharType="end"/>
      </w:r>
      <w:r w:rsidRPr="00CE1AC0">
        <w:rPr>
          <w:rFonts w:ascii="Arial" w:hAnsi="Arial" w:cs="Arial"/>
          <w:color w:val="222222"/>
          <w:sz w:val="22"/>
          <w:szCs w:val="22"/>
        </w:rPr>
        <w:t xml:space="preserve">)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r w:rsidRPr="00CE1AC0">
        <w:rPr>
          <w:rFonts w:ascii="Arial" w:hAnsi="Arial" w:cs="Arial"/>
          <w:color w:val="222222"/>
          <w:sz w:val="22"/>
          <w:szCs w:val="22"/>
        </w:rPr>
        <w:fldChar w:fldCharType="begin"/>
      </w:r>
      <w:r w:rsidRPr="00CE1AC0">
        <w:rPr>
          <w:rFonts w:ascii="Arial" w:hAnsi="Arial" w:cs="Arial"/>
          <w:color w:val="222222"/>
          <w:sz w:val="22"/>
          <w:szCs w:val="22"/>
        </w:rPr>
        <w:instrText xml:space="preserve"> HYPERLINK "https://canvas.sfu.ca/courses/15986" \t "_blank" </w:instrText>
      </w:r>
      <w:r w:rsidRPr="00CE1AC0">
        <w:rPr>
          <w:rFonts w:ascii="Arial" w:hAnsi="Arial" w:cs="Arial"/>
          <w:color w:val="222222"/>
          <w:sz w:val="22"/>
          <w:szCs w:val="22"/>
        </w:rPr>
      </w:r>
      <w:r w:rsidRPr="00CE1AC0">
        <w:rPr>
          <w:rFonts w:ascii="Arial" w:hAnsi="Arial" w:cs="Arial"/>
          <w:color w:val="222222"/>
          <w:sz w:val="22"/>
          <w:szCs w:val="22"/>
        </w:rPr>
        <w:fldChar w:fldCharType="separate"/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Kanada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 xml:space="preserve"> S.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Fraseri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ülikooli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põhjalikust</w:t>
      </w:r>
      <w:proofErr w:type="spellEnd"/>
      <w:r w:rsidRPr="00CE1AC0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proofErr w:type="spellStart"/>
      <w:r w:rsidRPr="00CE1AC0">
        <w:rPr>
          <w:rFonts w:ascii="Arial" w:hAnsi="Arial" w:cs="Arial"/>
          <w:color w:val="0000FF"/>
          <w:sz w:val="22"/>
          <w:szCs w:val="22"/>
          <w:u w:val="single"/>
        </w:rPr>
        <w:t>materjalist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fldChar w:fldCharType="end"/>
      </w:r>
      <w:r w:rsidRPr="00CE1AC0">
        <w:rPr>
          <w:rFonts w:ascii="Arial" w:hAnsi="Arial" w:cs="Arial"/>
          <w:color w:val="222222"/>
          <w:sz w:val="22"/>
          <w:szCs w:val="22"/>
        </w:rPr>
        <w:t>.</w:t>
      </w:r>
      <w:r w:rsidRPr="00CE1AC0">
        <w:rPr>
          <w:rFonts w:ascii="Arial" w:hAnsi="Arial" w:cs="Arial"/>
          <w:color w:val="222222"/>
          <w:sz w:val="22"/>
          <w:szCs w:val="22"/>
        </w:rPr>
        <w:br/>
      </w:r>
      <w:bookmarkStart w:id="0" w:name="_GoBack"/>
      <w:bookmarkEnd w:id="0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Oskust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kirjutada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luua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vastavalt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heale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akadeemilisele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tavale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omandata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mõnetunnise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sissejuhatava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loenguga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Tudengitel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peab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olema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õppimise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harjutamise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aeg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mille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jooksul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vigade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tegemine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lubatud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normaalne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Töörühm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leidis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proofErr w:type="gram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et</w:t>
      </w:r>
      <w:proofErr w:type="gram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plagiaadijuhtumite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käsitlemisel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põhjendatud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eristada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kolme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raskusastet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sõltuvalt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sellest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millistes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töödes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plagiaat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esineb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:</w:t>
      </w:r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gram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I</w:t>
      </w:r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eksimus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esineb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igapäevase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regulaarse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käigus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loodud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töödes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Sellisel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juhul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peab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õppejõud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andma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õppijale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tagasisidet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läinud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valesti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kuidas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oleks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olnud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õige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viitamist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kasutada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Üliõpilane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parandab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vead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esitab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uuesti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Üliõpilast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eksimuse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eest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karistata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gram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II</w:t>
      </w:r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esineb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ainekursuse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viimases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olulisemas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näit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eksamitöö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), mille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alusel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pannakse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välja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kursuse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/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/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semestrihinded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Sellistel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juhtudel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teeb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õppejõud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ÕIS-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märkuse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esinemise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kohta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planeerime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ÕIS-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sellekohast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arendust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õppejõud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annab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üliõpilasele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tagasisidet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esinenud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eksimuste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kohta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üliõpilane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parandab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need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esitab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uuesti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Märkused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ÕIS-is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aegu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neid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näevad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õppejuht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õppenõustaja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Kui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üliõpilasel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mitu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plagiaaditeemalist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märkust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hoiatatakse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üliõpilast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Kolmanda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märkuse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järel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vormistab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instituut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käskkirja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plagieerimise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eest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gram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III</w:t>
      </w:r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esineb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bakalaureuse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-,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magistri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-,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doktoriastme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lõputöös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Lõputööde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hindamiskomisjon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peab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otsuse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tegemisel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kaaluma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tegemist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tahtmatu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tahtliku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plagiaadiga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Otsus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aluseks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hoiatuse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eksmatrikuleerimise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algatamiseks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Times" w:hAnsi="Times" w:cs="Times New Roman"/>
          <w:sz w:val="20"/>
          <w:szCs w:val="20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i/>
          <w:iCs/>
          <w:color w:val="222222"/>
          <w:sz w:val="22"/>
          <w:szCs w:val="22"/>
        </w:rPr>
        <w:t>Tahtmatuks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i/>
          <w:iCs/>
          <w:color w:val="222222"/>
          <w:sz w:val="22"/>
          <w:szCs w:val="22"/>
        </w:rPr>
        <w:t>plagiaadiks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saab</w:t>
      </w:r>
      <w:proofErr w:type="spellEnd"/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lugeda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viitamisel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esinevaid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refereerimis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-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tsiteerimisvigu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mis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ole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põhimõttelist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laadi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</w:t>
      </w:r>
      <w:r w:rsidRPr="00CE1AC0">
        <w:rPr>
          <w:rFonts w:ascii="Arial" w:hAnsi="Arial" w:cs="Arial"/>
          <w:i/>
          <w:iCs/>
          <w:color w:val="222222"/>
          <w:sz w:val="22"/>
          <w:szCs w:val="22"/>
        </w:rPr>
        <w:t>ahtlik</w:t>
      </w:r>
      <w:proofErr w:type="spellEnd"/>
      <w:r w:rsidRPr="00CE1AC0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i/>
          <w:iCs/>
          <w:color w:val="222222"/>
          <w:sz w:val="22"/>
          <w:szCs w:val="22"/>
        </w:rPr>
        <w:t>plagieerimine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: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ostmine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kirjutamine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isiku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poolt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variautorlus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);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teadlik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teksti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selle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lõikude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sõna-sõnaline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esitamine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ilma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autorile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vi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allikale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korrektselt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viitamata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tekstiplagiaat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sõnaline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);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arutluskäigu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ideede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esitamine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sõnadega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autorile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allikale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korrektselt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viitamata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arutlusplagiaat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ideede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struktuuri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);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tekstilõikude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arutluskäikude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lastRenderedPageBreak/>
        <w:t>võõrkeelsest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allikast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tõlkimine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originaalallikale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korrektselt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viitamata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tõlkeplagiaat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);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tsitaatide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ülevõtmine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esmaallikale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korrektselt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viitamata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tsitaadiplagiaat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tsitaatide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kogumik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);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formuleeringute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keeleliste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väljenduste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ülevõtmine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enda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nimel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esitamine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imitatsiooniplagiaat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);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pisimuudatuste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tegemine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tekstis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selle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esitamine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tsiteerimis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-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refereerimisnõudeid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järgimata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jms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plagiaadi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avaldumisvormid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Lõputöös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tahtliku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plagieerimise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tuvastamise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järel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tudeng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eksmatrikuleeritakse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Kui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üliõpilane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saab</w:t>
      </w:r>
      <w:proofErr w:type="spellEnd"/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võimaluse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kaitsta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uuel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teemal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eksternina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järgmisel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õppeaastal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tuleks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üliõpilast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kohustada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uuesti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läbima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akadeemilise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kirjutamise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/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autoriõiguse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alast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ainekursust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Plagiaadiküsimustega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tegelemine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jooksva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õppetöö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vältel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semestri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lõputööde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puhul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on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seni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olnud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pigem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juhuslik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ning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vajab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kõikides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akadeemilistes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üksustes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senisest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süsteemsemat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lähenemist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Töörühma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ettepanekud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6497"/>
      </w:tblGrid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Õppejõududele</w:t>
            </w:r>
            <w:proofErr w:type="spellEnd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Võtta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aega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üliõpilaste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tööde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sisuliseks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ülevaatamiseks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tagasisidestamiseks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kasutada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vajadusel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plagiaadituvastusprogramme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näit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KRATT, URKUND). 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Lubamatu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on, et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terve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grupp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üliõpilasi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saab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kätte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arvestuse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tööga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mille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üks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tudeng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ostnud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annaabi.ee-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ning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kõik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teised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kopeerinud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sedasama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ostetud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tööd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1AC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Teadvustada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et me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oleme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üliõpilasele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eeskujuks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!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Vaadata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oma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loengutes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kasutatavad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esitlus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)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materjalid</w:t>
            </w:r>
            <w:proofErr w:type="spellEnd"/>
            <w:proofErr w:type="gram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kas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olete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ise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viidanud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teiste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autorite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loodud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ideedele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teostele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?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Kuidas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olete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talitanud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kirjutate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avaldate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artikleid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mis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põhinevad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üliõpilaste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tehtud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töödel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? 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1AC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Koolitada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ennast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autoriõiguse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küsimustes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plagiaadituvastustarkvara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täiustub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ning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koos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sellega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arendatakse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oskusi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sellest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tarkvarast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mööda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hiilida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muutuvad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rõhuasetused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akadeemilises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heas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tavas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näiteks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tõusnud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päevakorda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eneseplagiaadi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küsimused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).  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Selle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kõigega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kursis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olla 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oluline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Õppekavade</w:t>
            </w:r>
            <w:proofErr w:type="spellEnd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kuraatoritele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Seada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sisse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oma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õppekavadel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nn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. “</w:t>
            </w:r>
            <w:proofErr w:type="spellStart"/>
            <w:proofErr w:type="gram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plagiaadikontrollid</w:t>
            </w:r>
            <w:proofErr w:type="spellEnd"/>
            <w:proofErr w:type="gram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”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ehk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määrata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igal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semestril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õppejõud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hoiavad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fookuses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plagiaadiküsimusi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ning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ained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üliõpilased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harjutavad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/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kinnistavad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autoriõigusega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kooskõlas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olevat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kirjutamis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/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loomisoskust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kasulik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"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plagiaadikontrolli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"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rollis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erinevatel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semestritel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erinevad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õppejõud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1AC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Aine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“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Õppimine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kõrgkoolis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”,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teadus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loometöö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eetikat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õpetatakse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praegu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ainult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bakalaureuseastmel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Doktoriastme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õppekavade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küsimustega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tegeleb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juba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eraldi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töörühm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Kuidas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omandavad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plagiaadiküsimustes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orienteerumiseks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vajalikud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teadmised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ning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oskused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magistriastme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üliõpilased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? 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Instituutidele</w:t>
            </w:r>
            <w:proofErr w:type="spellEnd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>Vaadata</w:t>
            </w:r>
            <w:proofErr w:type="spellEnd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>üle</w:t>
            </w:r>
            <w:proofErr w:type="spellEnd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>üliõpilastööde</w:t>
            </w:r>
            <w:proofErr w:type="spellEnd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 xml:space="preserve"> (</w:t>
            </w:r>
            <w:proofErr w:type="spellStart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>sh</w:t>
            </w:r>
            <w:proofErr w:type="spellEnd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>lõputööde</w:t>
            </w:r>
            <w:proofErr w:type="spellEnd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 xml:space="preserve">) </w:t>
            </w:r>
            <w:proofErr w:type="spellStart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>juhendid</w:t>
            </w:r>
            <w:proofErr w:type="spellEnd"/>
            <w:r w:rsidRPr="00CE1AC0">
              <w:rPr>
                <w:rFonts w:ascii="Arial" w:eastAsia="Times New Roman" w:hAnsi="Arial" w:cs="Arial"/>
                <w:sz w:val="27"/>
                <w:szCs w:val="27"/>
              </w:rPr>
              <w:t>:</w:t>
            </w:r>
          </w:p>
          <w:p w:rsidR="00CE1AC0" w:rsidRPr="00CE1AC0" w:rsidRDefault="00CE1AC0" w:rsidP="00CE1AC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kas</w:t>
            </w:r>
            <w:proofErr w:type="spellEnd"/>
            <w:proofErr w:type="gram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neis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on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olemas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just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teie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instituudile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sobivad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ning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kohased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viitamisjuhised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; </w:t>
            </w:r>
          </w:p>
          <w:p w:rsidR="00CE1AC0" w:rsidRPr="00CE1AC0" w:rsidRDefault="00CE1AC0" w:rsidP="00CE1AC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vajadusel</w:t>
            </w:r>
            <w:proofErr w:type="spellEnd"/>
            <w:proofErr w:type="gram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tuleb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täpsustada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mis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on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plagiaat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teie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valdkonnas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vrdl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informaatika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tants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)</w:t>
            </w:r>
          </w:p>
          <w:p w:rsidR="00CE1AC0" w:rsidRPr="00CE1AC0" w:rsidRDefault="00CE1AC0" w:rsidP="00CE1AC0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sõnastada</w:t>
            </w:r>
            <w:proofErr w:type="spellEnd"/>
            <w:proofErr w:type="gram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mida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teie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valdkonnas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mõistetakse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viitamist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mittevajava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üldinfona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mis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on /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ei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ole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lubatud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otseses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või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kaudses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viitamises</w:t>
            </w:r>
            <w:proofErr w:type="spellEnd"/>
            <w:r w:rsidRPr="00CE1A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. 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1AC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Lõputööde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juhendajate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retsensentide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õigeaegne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informeerimine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teie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instituudis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kehtivatest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põhimõtetest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1AC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Õppejõudude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koolitamine</w:t>
            </w:r>
            <w:proofErr w:type="spellEnd"/>
            <w:r w:rsidRPr="00CE1AC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igal</w:t>
            </w:r>
            <w:proofErr w:type="spellEnd"/>
            <w:r w:rsidRPr="00CE1AC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õppeaasta</w:t>
            </w:r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plagiaadinäidete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baasil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õppejõudude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omavaheline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heade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praktikate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jagamine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Õppejõu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atesteerimisel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arenguvestlustel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arvestada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ta on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läbinud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koolitusi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õpetamisoskuste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teadmiste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>ajakohastamiseks</w:t>
            </w:r>
            <w:proofErr w:type="spellEnd"/>
            <w:r w:rsidRPr="00CE1AC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Instituutide</w:t>
            </w:r>
            <w:proofErr w:type="spellEnd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-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üleselt</w:t>
            </w:r>
            <w:proofErr w:type="spellEnd"/>
            <w:proofErr w:type="gramEnd"/>
            <w:r w:rsidRPr="00CE1AC0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Plagiaaditemaatikas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on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palju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erialaspetsiifilisi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nüansse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mistõttu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tunnetavad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hindamiskomisjonidesse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kuuluvad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õppejõud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vajadust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eetikakomisjoni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järele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Arvestades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paljude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loominguliste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erialadega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TLÜ-s,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peavad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mõned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)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eetikakomisjoni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liikmed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hästi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orienteeruma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intellektuaalomandi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õiguses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1AC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Vaadata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ning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täiendada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õppekava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statuuti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õppekorralduseeskirja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</w:tc>
      </w:tr>
      <w:tr w:rsidR="00CE1AC0" w:rsidRPr="00CE1AC0" w:rsidTr="00CE1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1AC0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AC0" w:rsidRPr="00CE1AC0" w:rsidRDefault="00CE1AC0" w:rsidP="00CE1AC0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Luua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ülikooli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kodulehele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veebipõhine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plagiaati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käsitlev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kursus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/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materjal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kust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saaksid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vajadusel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nõu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ja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praktilist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abi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tudengid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ning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õppejõud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</w:p>
          <w:p w:rsidR="00CE1AC0" w:rsidRPr="00CE1AC0" w:rsidRDefault="00CE1AC0" w:rsidP="00CE1AC0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Ülikooli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kodulehel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plagiaadiküsimuste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käsitlemine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aitab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teadvustada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teema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olulisust</w:t>
            </w:r>
            <w:proofErr w:type="spellEnd"/>
            <w:r w:rsidRPr="00CE1AC0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</w:tc>
      </w:tr>
    </w:tbl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Ettepanekute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elluviimise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eest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vastutavad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õppeosakond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ja</w:t>
      </w:r>
      <w:proofErr w:type="spellEnd"/>
      <w:proofErr w:type="gram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töörühma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liikmed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koos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teiste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osapooltega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proofErr w:type="gramStart"/>
      <w:r w:rsidRPr="00CE1AC0">
        <w:rPr>
          <w:rFonts w:ascii="Arial" w:hAnsi="Arial" w:cs="Arial"/>
          <w:color w:val="222222"/>
          <w:sz w:val="22"/>
          <w:szCs w:val="22"/>
        </w:rPr>
        <w:t>Töögrupp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võttis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vastu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otsuse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222222"/>
          <w:sz w:val="22"/>
          <w:szCs w:val="22"/>
        </w:rPr>
        <w:t>kohtuda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edaspidi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vähemalt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1-2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korda</w:t>
      </w:r>
      <w:proofErr w:type="spellEnd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b/>
          <w:bCs/>
          <w:color w:val="222222"/>
          <w:sz w:val="22"/>
          <w:szCs w:val="22"/>
        </w:rPr>
        <w:t>semestris</w:t>
      </w:r>
      <w:proofErr w:type="spellEnd"/>
      <w:r w:rsidRPr="00CE1AC0">
        <w:rPr>
          <w:rFonts w:ascii="Arial" w:hAnsi="Arial" w:cs="Arial"/>
          <w:color w:val="222222"/>
          <w:sz w:val="22"/>
          <w:szCs w:val="22"/>
        </w:rPr>
        <w:t>.</w:t>
      </w:r>
      <w:proofErr w:type="gram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222222"/>
          <w:sz w:val="22"/>
          <w:szCs w:val="22"/>
        </w:rPr>
        <w:t>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Töögrupi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koosseisu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kuulusid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Kersti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Papson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õppekorralduse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peaspetsialist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000000"/>
          <w:sz w:val="22"/>
          <w:szCs w:val="22"/>
        </w:rPr>
        <w:t xml:space="preserve">Andrus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Rinde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multimeediumi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lektor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0A0A0A"/>
          <w:sz w:val="22"/>
          <w:szCs w:val="22"/>
        </w:rPr>
        <w:t xml:space="preserve">Birgit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Vilgats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BFMi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õppejuht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000000"/>
          <w:sz w:val="22"/>
          <w:szCs w:val="22"/>
        </w:rPr>
        <w:t xml:space="preserve">Hans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Põldoja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, DTI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õppejuht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Heili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Einasto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tantsuteooria</w:t>
      </w:r>
      <w:proofErr w:type="spellEnd"/>
      <w:r w:rsidRPr="00CE1AC0">
        <w:rPr>
          <w:rFonts w:ascii="Arial" w:hAnsi="Arial" w:cs="Arial"/>
          <w:color w:val="0A0A0A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A0A0A"/>
          <w:sz w:val="22"/>
          <w:szCs w:val="22"/>
        </w:rPr>
        <w:t>lektor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Ilmar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Selge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avaliku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õiguse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dotsent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Kadi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Liik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organisatsiooni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- </w:t>
      </w:r>
      <w:proofErr w:type="spellStart"/>
      <w:proofErr w:type="gram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ja</w:t>
      </w:r>
      <w:proofErr w:type="spellEnd"/>
      <w:proofErr w:type="gram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arengupsühholoogia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lektor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Kaire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Kollom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HARI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õppejuht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000000"/>
          <w:sz w:val="22"/>
          <w:szCs w:val="22"/>
        </w:rPr>
        <w:t xml:space="preserve">Kelli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Piksar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üliõpilane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Lehte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Tuuling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eelkoolipedagoogika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lektor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Marijell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Niinepuu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üliõpilane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000000"/>
          <w:sz w:val="22"/>
          <w:szCs w:val="22"/>
        </w:rPr>
        <w:t xml:space="preserve">Marin Johnson,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täiskasvanuõppe</w:t>
      </w:r>
      <w:proofErr w:type="spellEnd"/>
      <w:r w:rsidRPr="00CE1A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1AC0">
        <w:rPr>
          <w:rFonts w:ascii="Arial" w:hAnsi="Arial" w:cs="Arial"/>
          <w:color w:val="000000"/>
          <w:sz w:val="22"/>
          <w:szCs w:val="22"/>
        </w:rPr>
        <w:t>lektor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000000"/>
          <w:sz w:val="22"/>
          <w:szCs w:val="22"/>
        </w:rPr>
        <w:t xml:space="preserve">Matthew Crandall,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rahvusvaheliste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suhete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dotsent</w:t>
      </w:r>
      <w:proofErr w:type="spellEnd"/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Arial" w:hAnsi="Arial" w:cs="Arial"/>
          <w:color w:val="000000"/>
          <w:sz w:val="22"/>
          <w:szCs w:val="22"/>
        </w:rPr>
        <w:t xml:space="preserve">Merle Jung,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saksa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keele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didaktika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ja</w:t>
      </w:r>
      <w:proofErr w:type="spellEnd"/>
      <w:proofErr w:type="gram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lingvistika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dotsent</w:t>
      </w:r>
      <w:proofErr w:type="spellEnd"/>
      <w:r w:rsidRPr="00CE1AC0">
        <w:rPr>
          <w:rFonts w:ascii="Arial" w:hAnsi="Arial" w:cs="Arial"/>
          <w:color w:val="333333"/>
          <w:sz w:val="22"/>
          <w:szCs w:val="22"/>
          <w:shd w:val="clear" w:color="auto" w:fill="FFFFFF"/>
        </w:rPr>
        <w:t>.  </w:t>
      </w:r>
    </w:p>
    <w:p w:rsidR="00CE1AC0" w:rsidRPr="00CE1AC0" w:rsidRDefault="00CE1AC0" w:rsidP="00CE1AC0">
      <w:pPr>
        <w:jc w:val="both"/>
        <w:rPr>
          <w:rFonts w:ascii="Times" w:hAnsi="Times" w:cs="Times New Roman"/>
          <w:sz w:val="20"/>
          <w:szCs w:val="20"/>
        </w:rPr>
      </w:pPr>
      <w:r w:rsidRPr="00CE1AC0">
        <w:rPr>
          <w:rFonts w:ascii="Times" w:hAnsi="Times" w:cs="Times New Roman"/>
          <w:sz w:val="20"/>
          <w:szCs w:val="20"/>
        </w:rPr>
        <w:t> </w:t>
      </w:r>
    </w:p>
    <w:p w:rsidR="00DA5F40" w:rsidRDefault="00DA5F40" w:rsidP="00CE1AC0">
      <w:pPr>
        <w:jc w:val="both"/>
      </w:pPr>
    </w:p>
    <w:sectPr w:rsidR="00DA5F40" w:rsidSect="005E2A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839"/>
    <w:multiLevelType w:val="multilevel"/>
    <w:tmpl w:val="9ED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C0"/>
    <w:rsid w:val="005E2A17"/>
    <w:rsid w:val="00CE1AC0"/>
    <w:rsid w:val="00D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E6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1AC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AC0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E1A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1A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E1AC0"/>
    <w:rPr>
      <w:b/>
      <w:bCs/>
    </w:rPr>
  </w:style>
  <w:style w:type="character" w:styleId="Emphasis">
    <w:name w:val="Emphasis"/>
    <w:basedOn w:val="DefaultParagraphFont"/>
    <w:uiPriority w:val="20"/>
    <w:qFormat/>
    <w:rsid w:val="00CE1AC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1AC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AC0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E1A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1A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E1AC0"/>
    <w:rPr>
      <w:b/>
      <w:bCs/>
    </w:rPr>
  </w:style>
  <w:style w:type="character" w:styleId="Emphasis">
    <w:name w:val="Emphasis"/>
    <w:basedOn w:val="DefaultParagraphFont"/>
    <w:uiPriority w:val="20"/>
    <w:qFormat/>
    <w:rsid w:val="00CE1A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78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iseveeb.tlu.ee/cms/viewpage/?menu_id=35135610&amp;key=oppetoo&amp;page=men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6913</Characters>
  <Application>Microsoft Macintosh Word</Application>
  <DocSecurity>0</DocSecurity>
  <Lines>57</Lines>
  <Paragraphs>16</Paragraphs>
  <ScaleCrop>false</ScaleCrop>
  <Company>TLU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Oder</dc:creator>
  <cp:keywords/>
  <dc:description/>
  <cp:lastModifiedBy>Tuuli Oder</cp:lastModifiedBy>
  <cp:revision>1</cp:revision>
  <dcterms:created xsi:type="dcterms:W3CDTF">2019-03-18T17:08:00Z</dcterms:created>
  <dcterms:modified xsi:type="dcterms:W3CDTF">2019-03-18T17:09:00Z</dcterms:modified>
</cp:coreProperties>
</file>