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86DE4" w14:textId="77777777" w:rsidR="00F430FE" w:rsidRPr="004F65F2" w:rsidRDefault="004F65F2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Ajaloo</w:t>
      </w:r>
      <w:r w:rsidR="00F430FE"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õppekava bakalaureuse eksami kirjeldus</w:t>
      </w:r>
    </w:p>
    <w:p w14:paraId="1F2C8A90" w14:textId="77777777" w:rsidR="00F430FE" w:rsidRPr="004F65F2" w:rsidRDefault="00F430F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14:paraId="0ACC7BC6" w14:textId="77777777" w:rsidR="00F430FE" w:rsidRPr="004F65F2" w:rsidRDefault="00F430F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r w:rsidRPr="004F6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 xml:space="preserve">1. </w:t>
      </w:r>
      <w:r w:rsidR="004F65F2" w:rsidRPr="004F6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Ajaloo eriala</w:t>
      </w:r>
      <w:r w:rsidRPr="004F6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 xml:space="preserve"> bakalaureuse eksam koosneb kahest osast:</w:t>
      </w:r>
    </w:p>
    <w:p w14:paraId="61B51D04" w14:textId="77777777" w:rsidR="00897057" w:rsidRPr="004F65F2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7043B" w14:textId="0D53A349" w:rsidR="004F65F2" w:rsidRPr="00697C22" w:rsidRDefault="004F65F2" w:rsidP="004F65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</w:pP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1. </w:t>
      </w:r>
      <w:r w:rsidR="005C6B05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suuline</w:t>
      </w: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 eksam 1 EAP: üliõpilane töötab eelnevalt läbi</w:t>
      </w:r>
      <w:r w:rsid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 ette nähtud teoreetilise kirjanduse</w:t>
      </w: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 </w:t>
      </w:r>
      <w:r w:rsid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ning eksam toimub</w:t>
      </w: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 </w:t>
      </w:r>
      <w:r w:rsid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selle üle arutleva vestluse vormis. Eriliselt jälgitakse, kas ja kuidas suudab üliõpilane loetut seostada enda kirjaliku uurimistööga. </w:t>
      </w: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Üliõpilane on lubatud auditoorsele eksamile, kui tema kirjalik uurimistöö on </w:t>
      </w:r>
      <w:r w:rsidR="00BB0E71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õigel ajal </w:t>
      </w: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esitat</w:t>
      </w:r>
      <w:r w:rsidR="00CD0F60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ud.</w:t>
      </w:r>
    </w:p>
    <w:p w14:paraId="7FDA4D35" w14:textId="77777777" w:rsidR="004F65F2" w:rsidRPr="00697C22" w:rsidRDefault="004F65F2" w:rsidP="004F65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</w:pPr>
      <w:r w:rsidRPr="004F65F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2. kirjalik uurimustöö 5 EAP: uurimustöö üldmaht on 11 EAP, millest 6 EAP on üliõpilane saanud aine AIG6331 </w:t>
      </w:r>
      <w:r w:rsidRPr="00697C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t-EE" w:eastAsia="en-US"/>
        </w:rPr>
        <w:t>Uurimistöö alused ja akadeemiline kirjutamine sooritamise eest ning ülejäänud 5 eap-d  on B</w:t>
      </w:r>
      <w:r w:rsidRP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akalaureuse eksami osa (nö empiirilise osa kirjutamine, avalik kaitsmine).</w:t>
      </w:r>
      <w:r w:rsidR="005C6B05" w:rsidRP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 xml:space="preserve"> Töö pikkus vähemalt 35 lk. </w:t>
      </w:r>
      <w:r w:rsidR="00E548C0" w:rsidRP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en-US"/>
        </w:rPr>
        <w:t>Kirjaliku uurimustöö ja kaitsmise koondhinne omab bakalaureuse eksami lõpphindes määravat osa.</w:t>
      </w:r>
    </w:p>
    <w:p w14:paraId="74D0DB2B" w14:textId="77777777" w:rsidR="00897057" w:rsidRPr="004F65F2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B74F6A3" w14:textId="77777777" w:rsidR="00897057" w:rsidRPr="004F65F2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</w:p>
    <w:p w14:paraId="212681FD" w14:textId="77777777" w:rsidR="00897057" w:rsidRPr="00697C22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697C2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2. </w:t>
      </w:r>
      <w:r w:rsidR="00F430FE" w:rsidRPr="0067130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Bakalaureuse eksami osade </w:t>
      </w:r>
      <w:r w:rsidR="00F430FE" w:rsidRPr="00697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õpiväljundid ja nende hindamiskriteeriumid</w:t>
      </w:r>
      <w:r w:rsidR="00F430FE" w:rsidRPr="00697C2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D559848" w14:textId="77777777" w:rsidR="00897057" w:rsidRPr="00697C22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37BFE609" w14:textId="77777777" w:rsidR="00897057" w:rsidRPr="008C1D9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697C22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1. </w:t>
      </w:r>
      <w:r w:rsidR="0063238E" w:rsidRPr="008C1D9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auditoorne eksam </w:t>
      </w:r>
    </w:p>
    <w:p w14:paraId="57E8C5FA" w14:textId="77777777"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7FFF871" w14:textId="77777777" w:rsidR="0063238E" w:rsidRPr="00671307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- oskab analüüsida </w:t>
      </w:r>
      <w:r w:rsidR="00CD0F60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loetud materjali,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toetudes </w:t>
      </w:r>
      <w:r w:rsidR="004F65F2">
        <w:rPr>
          <w:rFonts w:ascii="Times New Roman" w:eastAsia="Times New Roman" w:hAnsi="Times New Roman" w:cs="Times New Roman"/>
          <w:sz w:val="24"/>
          <w:szCs w:val="24"/>
          <w:lang w:val="et-EE"/>
        </w:rPr>
        <w:t>seniste</w:t>
      </w:r>
      <w:r w:rsidR="00680E59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4F65F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õpingute</w:t>
      </w:r>
      <w:r w:rsidR="00680E59">
        <w:rPr>
          <w:rFonts w:ascii="Times New Roman" w:eastAsia="Times New Roman" w:hAnsi="Times New Roman" w:cs="Times New Roman"/>
          <w:sz w:val="24"/>
          <w:szCs w:val="24"/>
          <w:lang w:val="et-EE"/>
        </w:rPr>
        <w:t>s omandatud teadmistele</w:t>
      </w:r>
    </w:p>
    <w:p w14:paraId="0B62E98C" w14:textId="6C2BC8D4" w:rsidR="00680E59" w:rsidRDefault="0063238E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- oskab analüüsida </w:t>
      </w:r>
      <w:r w:rsidR="00CD0F60">
        <w:rPr>
          <w:rFonts w:ascii="Times New Roman" w:eastAsia="Times New Roman" w:hAnsi="Times New Roman" w:cs="Times New Roman"/>
          <w:sz w:val="24"/>
          <w:szCs w:val="24"/>
          <w:lang w:val="et-EE"/>
        </w:rPr>
        <w:t>loetud materjali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80E5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oma </w:t>
      </w:r>
      <w:r w:rsidR="000C22ED">
        <w:rPr>
          <w:rFonts w:ascii="Times New Roman" w:eastAsia="Times New Roman" w:hAnsi="Times New Roman" w:cs="Times New Roman"/>
          <w:sz w:val="24"/>
          <w:szCs w:val="24"/>
          <w:lang w:val="et-EE"/>
        </w:rPr>
        <w:t>kirjaliku uurim</w:t>
      </w:r>
      <w:r w:rsidR="000E36D5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0C22ED">
        <w:rPr>
          <w:rFonts w:ascii="Times New Roman" w:eastAsia="Times New Roman" w:hAnsi="Times New Roman" w:cs="Times New Roman"/>
          <w:sz w:val="24"/>
          <w:szCs w:val="24"/>
          <w:lang w:val="et-EE"/>
        </w:rPr>
        <w:t>stöö</w:t>
      </w:r>
      <w:r w:rsidR="00680E5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kontekstis</w:t>
      </w:r>
    </w:p>
    <w:p w14:paraId="66C46A85" w14:textId="45919F0B" w:rsidR="00E376A8" w:rsidRDefault="00E376A8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- mõistab ajalooteaduse positsiooni ja eripärasid laiemas humanitaarteaduste kontekstis</w:t>
      </w:r>
    </w:p>
    <w:p w14:paraId="6CA648D8" w14:textId="77777777" w:rsidR="00897057" w:rsidRPr="00697C22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2456E05" w14:textId="77777777" w:rsidR="00897057" w:rsidRPr="00697C22" w:rsidRDefault="0063238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r w:rsidRPr="00697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Hindamiskriteeriumid</w:t>
      </w:r>
      <w:r w:rsidR="00526062" w:rsidRPr="00697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 xml:space="preserve">  </w:t>
      </w:r>
    </w:p>
    <w:p w14:paraId="7C9A90DA" w14:textId="77777777" w:rsidR="00930B3C" w:rsidRPr="00697C22" w:rsidRDefault="00930B3C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0B3EFA2" w14:textId="54912247" w:rsidR="007E39DE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97C2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 </w:t>
      </w:r>
      <w:r w:rsidR="00326035" w:rsidRPr="00697C22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="00526062" w:rsidRPr="00697C2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526062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üliõpilane </w:t>
      </w:r>
      <w:r w:rsidR="00680ABD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>o</w:t>
      </w:r>
      <w:r w:rsidR="00CD0F60">
        <w:rPr>
          <w:rFonts w:ascii="Times New Roman" w:eastAsia="Times New Roman" w:hAnsi="Times New Roman" w:cs="Times New Roman"/>
          <w:sz w:val="24"/>
          <w:szCs w:val="24"/>
          <w:lang w:val="et-EE"/>
        </w:rPr>
        <w:t>rienteerub käsitletavas kirjanduses igakülgselt ja</w:t>
      </w:r>
      <w:r w:rsidR="00680ABD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526062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suudab oma </w:t>
      </w:r>
      <w:r w:rsidR="005C6B05">
        <w:rPr>
          <w:rFonts w:ascii="Times New Roman" w:eastAsia="Times New Roman" w:hAnsi="Times New Roman" w:cs="Times New Roman"/>
          <w:sz w:val="24"/>
          <w:szCs w:val="24"/>
          <w:lang w:val="et-EE"/>
        </w:rPr>
        <w:t>arvamust</w:t>
      </w:r>
      <w:r w:rsidR="00526062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>põhjalikult argumenteeri</w:t>
      </w:r>
      <w:r w:rsidR="000E36D5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>una</w:t>
      </w:r>
      <w:r w:rsidR="005C6B05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esitada.</w:t>
      </w:r>
      <w:r w:rsidR="00526062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Oskab enda kirjalikku uurimistööd loetuga seostada ning selle üle põhjalikult arutleda. </w:t>
      </w:r>
      <w:r w:rsidR="00526062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Näeb 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>käsitl</w:t>
      </w:r>
      <w:r w:rsidR="00ED686D">
        <w:rPr>
          <w:rFonts w:ascii="Times New Roman" w:eastAsia="Times New Roman" w:hAnsi="Times New Roman" w:cs="Times New Roman"/>
          <w:sz w:val="24"/>
          <w:szCs w:val="24"/>
          <w:lang w:val="et-EE"/>
        </w:rPr>
        <w:t>e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tud kirjanduse taustal </w:t>
      </w:r>
      <w:r w:rsidR="00526062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oma uurimistöö võimalikke edasiarenguid 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ning suudab seda kriitiliselt mõtestada. </w:t>
      </w:r>
    </w:p>
    <w:p w14:paraId="21FCFE2F" w14:textId="77777777" w:rsidR="007E39DE" w:rsidRPr="00680ABD" w:rsidRDefault="007E39DE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1B00CDF" w14:textId="6B536350" w:rsidR="00EF1DED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В </w:t>
      </w:r>
      <w:r w:rsidR="00326035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326035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üliõpilane demonstreerib 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>käsitlet</w:t>
      </w:r>
      <w:r w:rsidR="00ED686D">
        <w:rPr>
          <w:rFonts w:ascii="Times New Roman" w:eastAsia="Times New Roman" w:hAnsi="Times New Roman" w:cs="Times New Roman"/>
          <w:sz w:val="24"/>
          <w:szCs w:val="24"/>
          <w:lang w:val="et-EE"/>
        </w:rPr>
        <w:t>ud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kirjanduse </w:t>
      </w:r>
      <w:r w:rsidR="00326035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>head t</w:t>
      </w:r>
      <w:r w:rsidR="00EF1DED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>undmist</w:t>
      </w:r>
      <w:r w:rsidR="00326035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, </w:t>
      </w:r>
      <w:r w:rsidR="00EF1DED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>suudab loetusse kriitiliselt suhtuda ning oma suhtumist argumenteerida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Näeb seoseid loetud materjali ning enda kirjaliku uurimistöö vahel ja oskab neid välja tuua. </w:t>
      </w:r>
      <w:r w:rsidR="00E36684" w:rsidRPr="00680ABD">
        <w:rPr>
          <w:rFonts w:ascii="Times New Roman" w:eastAsia="Times New Roman" w:hAnsi="Times New Roman" w:cs="Times New Roman"/>
          <w:sz w:val="24"/>
          <w:szCs w:val="24"/>
          <w:lang w:val="et-EE"/>
        </w:rPr>
        <w:t>Näeb oma uurimistöö võimalikke edasiarenguid</w:t>
      </w:r>
      <w:r w:rsidR="008E437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loetud kirjanduse taustal.</w:t>
      </w:r>
    </w:p>
    <w:p w14:paraId="59EA788A" w14:textId="77777777" w:rsidR="00326035" w:rsidRPr="00671307" w:rsidRDefault="00326035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31F2273" w14:textId="77777777" w:rsidR="00FB60C9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С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üliõpilane </w:t>
      </w:r>
      <w:r w:rsidR="006155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orienteerub loetud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materjali</w:t>
      </w:r>
      <w:r w:rsidR="006155A3">
        <w:rPr>
          <w:rFonts w:ascii="Times New Roman" w:eastAsia="Times New Roman" w:hAnsi="Times New Roman" w:cs="Times New Roman"/>
          <w:sz w:val="24"/>
          <w:szCs w:val="24"/>
          <w:lang w:val="et-EE"/>
        </w:rPr>
        <w:t>s, näitab analüüsivõimet, oskab loetut sidud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>a seniste õpingukogemustega ning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155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suudab leida 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mõningaid </w:t>
      </w:r>
      <w:r w:rsidR="006155A3">
        <w:rPr>
          <w:rFonts w:ascii="Times New Roman" w:eastAsia="Times New Roman" w:hAnsi="Times New Roman" w:cs="Times New Roman"/>
          <w:sz w:val="24"/>
          <w:szCs w:val="24"/>
          <w:lang w:val="et-EE"/>
        </w:rPr>
        <w:t>seoseid oma uurimisteema</w:t>
      </w:r>
      <w:r w:rsidR="00EF1DED">
        <w:rPr>
          <w:rFonts w:ascii="Times New Roman" w:eastAsia="Times New Roman" w:hAnsi="Times New Roman" w:cs="Times New Roman"/>
          <w:sz w:val="24"/>
          <w:szCs w:val="24"/>
          <w:lang w:val="et-EE"/>
        </w:rPr>
        <w:t>ga.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Ei suuda</w:t>
      </w:r>
      <w:r w:rsidR="008E437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loetud kirjanduse taustal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8E4377">
        <w:rPr>
          <w:rFonts w:ascii="Times New Roman" w:eastAsia="Times New Roman" w:hAnsi="Times New Roman" w:cs="Times New Roman"/>
          <w:sz w:val="24"/>
          <w:szCs w:val="24"/>
          <w:lang w:val="et-EE"/>
        </w:rPr>
        <w:t>oma uurimistöö võimalike edasiarengute üle arutleda.</w:t>
      </w:r>
    </w:p>
    <w:p w14:paraId="2C7957DE" w14:textId="77777777" w:rsidR="006155A3" w:rsidRPr="00671307" w:rsidRDefault="006155A3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62C9B11" w14:textId="77777777" w:rsidR="007E39DE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D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üliõpilane demonstreerib piiratud teadmis</w:t>
      </w:r>
      <w:r w:rsidR="00CB08B5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loetud</w:t>
      </w:r>
      <w:r w:rsidR="00526062" w:rsidRPr="0052606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526062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materjali</w:t>
      </w:r>
      <w:r w:rsidR="00526062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mõistmisel</w:t>
      </w:r>
      <w:r w:rsidR="007E39DE">
        <w:rPr>
          <w:rFonts w:ascii="Times New Roman" w:eastAsia="Times New Roman" w:hAnsi="Times New Roman" w:cs="Times New Roman"/>
          <w:sz w:val="24"/>
          <w:szCs w:val="24"/>
          <w:lang w:val="et-EE"/>
        </w:rPr>
        <w:t>, ei suuda leida seose</w:t>
      </w:r>
      <w:r w:rsidR="008E4377">
        <w:rPr>
          <w:rFonts w:ascii="Times New Roman" w:eastAsia="Times New Roman" w:hAnsi="Times New Roman" w:cs="Times New Roman"/>
          <w:sz w:val="24"/>
          <w:szCs w:val="24"/>
          <w:lang w:val="et-EE"/>
        </w:rPr>
        <w:t>id enda kirjaliku uurimistööga ega arutleda selle võimalike edasiarengute üle.</w:t>
      </w:r>
    </w:p>
    <w:p w14:paraId="3845B697" w14:textId="77777777" w:rsidR="007F13F1" w:rsidRPr="00671307" w:rsidRDefault="007F13F1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657A8968" w14:textId="77777777" w:rsidR="00FB60C9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Е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üliõpilane </w:t>
      </w:r>
      <w:r w:rsidR="00EF1DED">
        <w:rPr>
          <w:rFonts w:ascii="Times New Roman" w:eastAsia="Times New Roman" w:hAnsi="Times New Roman" w:cs="Times New Roman"/>
          <w:sz w:val="24"/>
          <w:szCs w:val="24"/>
          <w:lang w:val="et-EE"/>
        </w:rPr>
        <w:t>orienteerub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F1DE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loetud 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materjali</w:t>
      </w:r>
      <w:r w:rsidR="00EF1DED">
        <w:rPr>
          <w:rFonts w:ascii="Times New Roman" w:eastAsia="Times New Roman" w:hAnsi="Times New Roman" w:cs="Times New Roman"/>
          <w:sz w:val="24"/>
          <w:szCs w:val="24"/>
          <w:lang w:val="et-EE"/>
        </w:rPr>
        <w:t>s</w:t>
      </w:r>
      <w:r w:rsidR="00A37F0D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EF1DE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halvasti, </w:t>
      </w:r>
      <w:r w:rsidR="007F1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ilmnevad raskused loetu analüüsil ning konteksti asetamisel, </w:t>
      </w:r>
      <w:r w:rsidR="00EF1DE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ei </w:t>
      </w:r>
      <w:r w:rsidR="007F13F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oska paigutada oma uurimisteemat laiemasse pilti ega näha selle arenguvõimalusi. </w:t>
      </w:r>
    </w:p>
    <w:p w14:paraId="28F650B8" w14:textId="77777777" w:rsidR="007F13F1" w:rsidRPr="00671307" w:rsidRDefault="007F13F1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C8378F1" w14:textId="77777777" w:rsidR="006155A3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F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–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B60C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üliõpilane </w:t>
      </w:r>
      <w:r w:rsidR="006155A3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ei ole materjali läbi töötanud ega suuda õppejõudude küsimustele vastata. </w:t>
      </w:r>
      <w:r w:rsidRPr="0067130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</w:t>
      </w:r>
    </w:p>
    <w:p w14:paraId="2AC35DB7" w14:textId="77777777" w:rsidR="006155A3" w:rsidRDefault="006155A3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</w:p>
    <w:p w14:paraId="23EEF6BF" w14:textId="77777777" w:rsidR="00897057" w:rsidRPr="00671307" w:rsidRDefault="006155A3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lastRenderedPageBreak/>
        <w:t xml:space="preserve">2. </w:t>
      </w:r>
      <w:r w:rsidR="00C41BE6" w:rsidRPr="00671307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Kirjalik uurimistöö</w:t>
      </w:r>
    </w:p>
    <w:p w14:paraId="217CB8E2" w14:textId="77777777"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48CD721E" w14:textId="77777777" w:rsidR="00C41BE6" w:rsidRPr="00671307" w:rsidRDefault="00C41BE6" w:rsidP="0068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</w:t>
      </w:r>
      <w:r w:rsidR="00FC0EDF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oskab koguda </w:t>
      </w:r>
      <w:r w:rsidR="00680E5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andmeid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ja töötada</w:t>
      </w:r>
      <w:r w:rsidR="00680E59" w:rsidRPr="00680E5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80E59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allikatega</w:t>
      </w:r>
    </w:p>
    <w:p w14:paraId="0C9FD5B3" w14:textId="77777777" w:rsidR="00C41BE6" w:rsidRPr="00671307" w:rsidRDefault="00C41BE6" w:rsidP="0068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suudab kirjutada analüütilisel teemakäsitlusel põhineva uurimistöö</w:t>
      </w:r>
    </w:p>
    <w:p w14:paraId="6AD5DD9C" w14:textId="77777777" w:rsidR="00680E59" w:rsidRDefault="00C41BE6" w:rsidP="0068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tunneb formaalse</w:t>
      </w:r>
      <w:r w:rsidR="007212F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d uurim</w:t>
      </w:r>
      <w:r w:rsidR="007212FA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stöö vormistamise reegl</w:t>
      </w:r>
      <w:r w:rsidR="00F9659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eid</w:t>
      </w:r>
    </w:p>
    <w:p w14:paraId="29A3A29C" w14:textId="77777777" w:rsidR="00C41BE6" w:rsidRPr="00671307" w:rsidRDefault="00680E59" w:rsidP="0068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- </w:t>
      </w:r>
      <w:r w:rsidR="00C41BE6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oskab koostada </w:t>
      </w:r>
      <w:r w:rsidR="008775EB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loogilise ülesehitusega ja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heas </w:t>
      </w:r>
      <w:r w:rsidR="007F13F1">
        <w:rPr>
          <w:rFonts w:ascii="Times New Roman" w:eastAsia="Times New Roman" w:hAnsi="Times New Roman" w:cs="Times New Roman"/>
          <w:sz w:val="24"/>
          <w:szCs w:val="24"/>
          <w:lang w:val="et-EE"/>
        </w:rPr>
        <w:t>keeles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teksti</w:t>
      </w:r>
      <w:r w:rsidR="008775EB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05A1F4BF" w14:textId="77777777" w:rsidR="00C41BE6" w:rsidRPr="00671307" w:rsidRDefault="00C41BE6" w:rsidP="0068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- suudab kaitsta</w:t>
      </w:r>
      <w:r w:rsidR="00680E59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uurimistöös püstitatud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seisukohti.</w:t>
      </w:r>
      <w:r w:rsidR="00F96597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3136EE19" w14:textId="77777777" w:rsidR="00C41BE6" w:rsidRPr="00671307" w:rsidRDefault="00C41BE6" w:rsidP="0068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358FD17" w14:textId="77777777" w:rsidR="00897057" w:rsidRPr="00697C22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7F22430" w14:textId="77777777" w:rsidR="00897057" w:rsidRPr="00671307" w:rsidRDefault="00C41BE6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C1D97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Hindamiskriteeriumid </w:t>
      </w:r>
      <w:r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tabelina</w:t>
      </w:r>
      <w:r w:rsidR="00595648" w:rsidRPr="00671307">
        <w:rPr>
          <w:rFonts w:ascii="Times New Roman" w:eastAsia="Times New Roman" w:hAnsi="Times New Roman" w:cs="Times New Roman"/>
          <w:sz w:val="24"/>
          <w:szCs w:val="24"/>
          <w:lang w:val="et-EE"/>
        </w:rPr>
        <w:t>, väljavõetud TÜHI BA lõputööde vormistamise korrast</w:t>
      </w:r>
    </w:p>
    <w:p w14:paraId="0F630E32" w14:textId="77777777" w:rsidR="00897057" w:rsidRPr="00697C22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et-EE"/>
        </w:rPr>
      </w:pPr>
    </w:p>
    <w:tbl>
      <w:tblPr>
        <w:tblStyle w:val="a"/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9"/>
        <w:gridCol w:w="1418"/>
        <w:gridCol w:w="1134"/>
        <w:gridCol w:w="709"/>
        <w:gridCol w:w="1134"/>
        <w:gridCol w:w="818"/>
      </w:tblGrid>
      <w:tr w:rsidR="00897057" w:rsidRPr="00671307" w14:paraId="20E785A7" w14:textId="77777777" w:rsidTr="007345C3">
        <w:trPr>
          <w:trHeight w:val="920"/>
        </w:trPr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55F3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378D" w14:textId="77777777" w:rsidR="00897057" w:rsidRPr="00671307" w:rsidRDefault="007345C3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</w:t>
            </w:r>
            <w:r w:rsidR="00C41BE6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uurepärane</w:t>
            </w:r>
          </w:p>
          <w:p w14:paraId="3F19E1C2" w14:textId="77777777" w:rsidR="00897057" w:rsidRPr="00671307" w:rsidRDefault="00FC0EDF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9888" w14:textId="77777777" w:rsidR="00897057" w:rsidRPr="00671307" w:rsidRDefault="00C41BE6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Väga hea</w:t>
            </w:r>
          </w:p>
          <w:p w14:paraId="35467711" w14:textId="77777777" w:rsidR="00897057" w:rsidRPr="00671307" w:rsidRDefault="00FC0EDF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A2F6" w14:textId="77777777" w:rsidR="00897057" w:rsidRPr="00671307" w:rsidRDefault="00C41BE6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Hea </w:t>
            </w:r>
          </w:p>
          <w:p w14:paraId="5C42A4C3" w14:textId="77777777" w:rsidR="00897057" w:rsidRPr="00671307" w:rsidRDefault="00FC0EDF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7AE2D" w14:textId="77777777" w:rsidR="00897057" w:rsidRPr="00671307" w:rsidRDefault="00C41BE6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Rahuldav </w:t>
            </w:r>
          </w:p>
          <w:p w14:paraId="38A1A5F3" w14:textId="77777777" w:rsidR="00897057" w:rsidRPr="00671307" w:rsidRDefault="00FC0EDF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3E8F" w14:textId="77777777" w:rsidR="00897057" w:rsidRPr="00671307" w:rsidRDefault="00C41BE6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Kasin </w:t>
            </w:r>
          </w:p>
          <w:p w14:paraId="3634C147" w14:textId="77777777" w:rsidR="00897057" w:rsidRPr="00671307" w:rsidRDefault="00FC0EDF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97057" w:rsidRPr="00671307" w14:paraId="36238F99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2EBB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Teema aktuaalsus, probleemiasetus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BEB0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1810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80B82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5111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E705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057" w:rsidRPr="00671307" w14:paraId="4BBA85F6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9FD3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Valitud meetod, selle sobivus materjaliga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20D1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D07C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07BB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4CE1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1334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057" w:rsidRPr="00671307" w14:paraId="3AB22973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0090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 struktuuri loogilisus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781E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EEA3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D7F4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857B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915B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7057" w:rsidRPr="00671307" w14:paraId="2C1D89BC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EF00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Teooriatausta sobivus ja selle seostamine analüüsiga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C51E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DBE0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0142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157F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7EC7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057" w:rsidRPr="00671307" w14:paraId="4A69A2C1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CB4A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Materjali piisavus, analüüs, selle põhjalikkus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8F21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7B622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2BB1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EA2A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FDF6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057" w:rsidRPr="00671307" w14:paraId="2338448C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9E87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Uurimistulemuste esitamise põhjalikkus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87C4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6B87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07A9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D4A2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1674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7057" w:rsidRPr="00697C22" w14:paraId="1F968207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19F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Viitamistehnika korrektsus (tsitaatide-refereeringute osakaal, eristavus autoritekstist, viidete korrektne vormistamine)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B488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A217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40A4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D02F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779D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97057" w:rsidRPr="00671307" w14:paraId="13451AB3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FEA9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Stiili ja keelekasutuse korrektsus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49B78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3106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7246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98A8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4BD6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7057" w:rsidRPr="00697C22" w14:paraId="454572EE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0337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Kasutatud kirjanduse maht ja asjakohasus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4C0A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0D87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AB1D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064C8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200E" w14:textId="77777777" w:rsidR="00897057" w:rsidRPr="00697C22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97057" w:rsidRPr="00671307" w14:paraId="3956EFAF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F6FF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 üldine vormistus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42A4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7BA6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62A0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6D5D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6F6F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7057" w:rsidRPr="00671307" w14:paraId="67904A7A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D7CD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Töö üldmulje ja kommentaarid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BB66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0F6D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7423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0448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2663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97057" w:rsidRPr="00671307" w14:paraId="7BAB5CFA" w14:textId="77777777" w:rsidTr="007345C3"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1219" w14:textId="77777777" w:rsidR="00897057" w:rsidRPr="00671307" w:rsidRDefault="00595648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Avalik kaitsmine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1284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05BB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9E1F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ADCD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878F" w14:textId="77777777" w:rsidR="00897057" w:rsidRPr="00671307" w:rsidRDefault="00897057" w:rsidP="00671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81ACF77" w14:textId="77777777"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795F0C2" w14:textId="77777777"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204F1" w14:textId="77777777" w:rsidR="00897057" w:rsidRPr="00671307" w:rsidRDefault="00897057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44973" w14:textId="77777777" w:rsidR="00897057" w:rsidRPr="00671307" w:rsidRDefault="00FC0EDF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 w:rsidRPr="0067130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345C3" w:rsidRPr="006713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Eksami korralduse kirjeldus</w:t>
      </w:r>
    </w:p>
    <w:p w14:paraId="26428796" w14:textId="5CABD3F3" w:rsidR="007345C3" w:rsidRPr="0088167D" w:rsidRDefault="006F392F" w:rsidP="0088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lastRenderedPageBreak/>
        <w:t>Bakalaureuse</w:t>
      </w:r>
      <w:r w:rsidR="007345C3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eksam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7345C3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viiakse läbi kahel päeval: 1. päev – auditoorne eksam</w:t>
      </w:r>
      <w:r w:rsidR="007F13F1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;</w:t>
      </w:r>
      <w:r w:rsidR="007345C3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 2. päev</w:t>
      </w:r>
      <w:r w:rsidR="00675B06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– kirjaliku uurimistöö avalik kaitsmine (mai lõpp – juuni algus). 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Auditoorse eksami t</w:t>
      </w:r>
      <w:r w:rsidR="00675B06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ulemused ku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u</w:t>
      </w:r>
      <w:r w:rsidR="00675B06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lutatakse 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välja </w:t>
      </w:r>
      <w:r w:rsidR="00675B06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samal päeval 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pärast </w:t>
      </w:r>
      <w:r w:rsidR="00675B06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eksamikomisjoni töö lõp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pu, uurimistöö tulemused kohe pärast avalikku kaitsmist.</w:t>
      </w:r>
    </w:p>
    <w:p w14:paraId="615851EB" w14:textId="77777777" w:rsidR="00897057" w:rsidRPr="00671307" w:rsidRDefault="00897057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44B88B4" w14:textId="77777777" w:rsidR="00897057" w:rsidRPr="0088167D" w:rsidRDefault="00675B06" w:rsidP="0088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Uurimistöö teema vali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b üliõpilane 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5.</w:t>
      </w:r>
      <w:r w:rsidR="00F374D0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õppesemestri 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esimesel poolel, kooskõlastab selle juhendajaga ning teavitab bakalaureuse õppekava juhti. 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</w:p>
    <w:p w14:paraId="30C81D2F" w14:textId="77777777" w:rsidR="006C2167" w:rsidRPr="006C2167" w:rsidRDefault="006C2167" w:rsidP="006C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8146BF8" w14:textId="79E5C087" w:rsidR="0088167D" w:rsidRDefault="009C3144" w:rsidP="0088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Uurimistöö</w:t>
      </w:r>
      <w:r w:rsidR="00C1749D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d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vormistatakse vastavalt TLÜ lõputööde vormistamise korrale ning esitatakse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koos juhendaja allkirjaga elektroonilises vormis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büroole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BB0E71">
        <w:rPr>
          <w:rFonts w:ascii="Times New Roman" w:eastAsia="Times New Roman" w:hAnsi="Times New Roman" w:cs="Times New Roman"/>
          <w:sz w:val="24"/>
          <w:szCs w:val="24"/>
          <w:lang w:val="et-EE"/>
        </w:rPr>
        <w:t>kodulehel avalikustatud tähtpäeval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. </w:t>
      </w:r>
      <w:r w:rsidR="00C1749D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T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öö </w:t>
      </w:r>
      <w:r w:rsidR="00BB0E71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õigel ajal </w:t>
      </w:r>
      <w:r w:rsidR="006C2167"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>esitamine on</w:t>
      </w:r>
      <w:r w:rsidRPr="0088167D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auditoorsele eksamile lubamise aluseks.</w:t>
      </w:r>
    </w:p>
    <w:p w14:paraId="127EBF0C" w14:textId="77777777" w:rsidR="0088167D" w:rsidRPr="0088167D" w:rsidRDefault="0088167D" w:rsidP="00881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2373DA72" w14:textId="77777777" w:rsidR="008E4377" w:rsidRDefault="0088167D" w:rsidP="003253E2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  <w:r w:rsidRPr="0088167D"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 xml:space="preserve">Auditoorsele eksamile eelneb individuaalne töö 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artiklit</w:t>
      </w:r>
      <w:r w:rsidR="008E4377"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e või valitud peatükkidega erialasest käsitlusest</w:t>
      </w:r>
      <w:r w:rsidRPr="0088167D"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:</w:t>
      </w:r>
    </w:p>
    <w:p w14:paraId="2E900BE6" w14:textId="77777777" w:rsidR="008E4377" w:rsidRDefault="008E4377" w:rsidP="003253E2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</w:p>
    <w:p w14:paraId="20F0D79A" w14:textId="77777777" w:rsidR="008E4377" w:rsidRDefault="008E4377" w:rsidP="003253E2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 xml:space="preserve">Enn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Tarvel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. Kas ajalugu saab kirjutada objektiivselt? Tuna 3/2005, lk 4–9.</w:t>
      </w:r>
    </w:p>
    <w:p w14:paraId="40B4C3B7" w14:textId="77777777" w:rsidR="00F252EE" w:rsidRDefault="00F252EE" w:rsidP="00F252EE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Jörn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Rüsen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. Ajaloolise mõtestamise struktuurid. Tuna 2/1999, lk 29–36.</w:t>
      </w:r>
    </w:p>
    <w:p w14:paraId="71C51F31" w14:textId="77777777" w:rsidR="00F252EE" w:rsidRDefault="00F252EE" w:rsidP="00F252EE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Mart Kivimäe. Kuidas mõista ajalookirjutust? Saateks Jörn Rüseni artiklile. Tuna 2/1999, lk 36–41.</w:t>
      </w:r>
    </w:p>
    <w:p w14:paraId="6E436DB1" w14:textId="77777777" w:rsidR="00F252EE" w:rsidRDefault="00F252EE" w:rsidP="00F252EE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Eva Piirimäe. Teoreetilisi perspektiive 19. sajandi eesti rahvusluse uurimiseks. – Vene impeerium ja Baltikum: venestus, rahvuslus ja moderniseerimine 19. sajandi teisel poolel ja 20. sajandi alguses. Eesti Ajalooarhiivi Toimetised 16, 2009.</w:t>
      </w:r>
    </w:p>
    <w:p w14:paraId="528BFDD8" w14:textId="1AD7E7AF" w:rsidR="008E4377" w:rsidRDefault="008E4377" w:rsidP="003253E2">
      <w:pPr>
        <w:pStyle w:val="Pealkiri1"/>
        <w:spacing w:before="0" w:after="0" w:line="312" w:lineRule="atLeast"/>
        <w:textAlignment w:val="baseline"/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 xml:space="preserve">Toomas Karjahärm. Oleviku minevikud. Ajaloolase käsiraamat. Argo, 2010, lk </w:t>
      </w:r>
      <w:r w:rsidR="00EA7590">
        <w:rPr>
          <w:rFonts w:ascii="Times New Roman" w:eastAsia="Times New Roman" w:hAnsi="Times New Roman" w:cs="Times New Roman"/>
          <w:b w:val="0"/>
          <w:sz w:val="24"/>
          <w:szCs w:val="24"/>
          <w:lang w:val="et-EE"/>
        </w:rPr>
        <w:t>17-57, 176-290.</w:t>
      </w:r>
    </w:p>
    <w:p w14:paraId="5F962B92" w14:textId="77777777" w:rsidR="008E4377" w:rsidRPr="008E4377" w:rsidRDefault="008E4377" w:rsidP="008E4377">
      <w:pPr>
        <w:rPr>
          <w:lang w:val="et-EE"/>
        </w:rPr>
      </w:pPr>
    </w:p>
    <w:p w14:paraId="56BF8ABF" w14:textId="77777777" w:rsidR="00FC0EDF" w:rsidRPr="00671307" w:rsidRDefault="00FC0EDF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0D3A9D54" w14:textId="77777777" w:rsidR="00930B3C" w:rsidRPr="00697C22" w:rsidRDefault="00930B3C" w:rsidP="006713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CB24E20" w14:textId="77777777" w:rsidR="00897057" w:rsidRPr="003854DA" w:rsidRDefault="006C2167" w:rsidP="00385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54D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4</w:t>
      </w:r>
      <w:r w:rsidR="00930B3C" w:rsidRPr="003854DA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. </w:t>
      </w:r>
      <w:r w:rsidR="00930B3C" w:rsidRPr="003854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FC0EDF" w:rsidRPr="003854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ksami eesti- ja ingliskeelne ainekaart</w:t>
      </w:r>
    </w:p>
    <w:p w14:paraId="7F6BD459" w14:textId="77777777" w:rsidR="00897057" w:rsidRPr="00671307" w:rsidRDefault="00897057" w:rsidP="00671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E5969" w14:textId="77777777" w:rsidR="00930B3C" w:rsidRPr="00930B3C" w:rsidRDefault="00930B3C" w:rsidP="00671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6187"/>
      </w:tblGrid>
      <w:tr w:rsidR="00B02E78" w:rsidRPr="00671307" w14:paraId="6812553B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8ED62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Ainekood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79314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</w:t>
            </w:r>
            <w:r w:rsidR="00325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AIG</w:t>
            </w:r>
            <w:r w:rsidR="00B02E78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6300</w:t>
            </w:r>
          </w:p>
        </w:tc>
      </w:tr>
      <w:tr w:rsidR="00B02E78" w:rsidRPr="00671307" w14:paraId="5CEEED4E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CB903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Nimetus (eesti k)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2763D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Bakalaureuseeksam </w:t>
            </w:r>
            <w:r w:rsidR="004F65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ajaloo</w:t>
            </w: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 erialal</w:t>
            </w:r>
          </w:p>
        </w:tc>
      </w:tr>
      <w:tr w:rsidR="00B02E78" w:rsidRPr="00671307" w14:paraId="1093E671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2BFCC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Nimetus (ingl. k)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4D59E" w14:textId="77777777" w:rsidR="00930B3C" w:rsidRPr="00930B3C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Bachelor</w:t>
            </w:r>
            <w:r w:rsidR="00325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’s</w:t>
            </w: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 E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x</w:t>
            </w:r>
            <w:r w:rsidR="00930B3C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am in </w:t>
            </w:r>
            <w:r w:rsidR="004F65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History</w:t>
            </w:r>
          </w:p>
        </w:tc>
      </w:tr>
      <w:tr w:rsidR="00B02E78" w:rsidRPr="00671307" w14:paraId="2D9FE7ED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C40F0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maht EAP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40065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6 EAP</w:t>
            </w:r>
          </w:p>
        </w:tc>
      </w:tr>
      <w:tr w:rsidR="00B02E78" w:rsidRPr="00671307" w14:paraId="30B5427F" w14:textId="77777777" w:rsidTr="00374DE2">
        <w:trPr>
          <w:trHeight w:val="60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142A4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Orienteeriv kontakt-tundide maht: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67BB9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71307" w14:paraId="78FEC70C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4D742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Õpetamise semester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2BFA3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K</w:t>
            </w:r>
          </w:p>
        </w:tc>
      </w:tr>
      <w:tr w:rsidR="00B02E78" w:rsidRPr="00671307" w14:paraId="52786FFF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71ADB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Kontrollivorm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E3B5F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Eksam</w:t>
            </w:r>
          </w:p>
        </w:tc>
      </w:tr>
      <w:tr w:rsidR="00B02E78" w:rsidRPr="00671307" w14:paraId="59909F02" w14:textId="77777777" w:rsidTr="00374DE2">
        <w:trPr>
          <w:trHeight w:val="172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D6439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lastRenderedPageBreak/>
              <w:t>Õppeaine eesmärgid</w:t>
            </w:r>
          </w:p>
          <w:p w14:paraId="0CAACFB4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(eesti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EDC93" w14:textId="77777777" w:rsidR="00B02E78" w:rsidRPr="00930B3C" w:rsidRDefault="00085AD1" w:rsidP="0008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Õpingute jooksul omandatud teadmiste vormimine kirjalikuks uurimistööks. </w:t>
            </w:r>
            <w:r w:rsidR="0036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Esinemis</w:t>
            </w:r>
            <w:r w:rsidR="0064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- ja arutlus</w:t>
            </w:r>
            <w:r w:rsidR="00362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oskuste demonstreerimine avalikul kaitsmisel</w:t>
            </w:r>
            <w:r w:rsidR="00647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ja</w:t>
            </w:r>
            <w:r w:rsidR="0038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suulisel eksamil.</w:t>
            </w:r>
          </w:p>
        </w:tc>
      </w:tr>
      <w:tr w:rsidR="00B02E78" w:rsidRPr="00697C22" w14:paraId="75EC53FF" w14:textId="77777777" w:rsidTr="00374DE2">
        <w:trPr>
          <w:trHeight w:val="88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104FE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eesmärgid</w:t>
            </w:r>
          </w:p>
          <w:p w14:paraId="1F994204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(inglise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660B4" w14:textId="77777777" w:rsidR="003629F4" w:rsidRPr="006471E9" w:rsidRDefault="00E548C0" w:rsidP="00E5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</w:t>
            </w:r>
            <w:r w:rsidR="00374DE2" w:rsidRPr="0069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 the theoretical and practical knowledge acquired during the studies in a written research paper</w:t>
            </w:r>
            <w:r w:rsidR="006471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 to support the</w:t>
            </w:r>
          </w:p>
          <w:p w14:paraId="1F38BDA6" w14:textId="77777777" w:rsidR="00930B3C" w:rsidRPr="006471E9" w:rsidRDefault="006471E9" w:rsidP="00E54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E36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374DE2" w:rsidRPr="000E36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cqui</w:t>
            </w:r>
            <w:r w:rsidRPr="000E36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of</w:t>
            </w:r>
            <w:r w:rsidR="00374DE2" w:rsidRPr="00697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skills necessary for public speaking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and academic discussion.</w:t>
            </w:r>
          </w:p>
          <w:p w14:paraId="5ED03E21" w14:textId="77777777" w:rsidR="003854DA" w:rsidRPr="00234B9B" w:rsidRDefault="003854DA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97C22" w14:paraId="1D81E1CD" w14:textId="77777777" w:rsidTr="008C1D97">
        <w:trPr>
          <w:trHeight w:val="4579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F5FF1" w14:textId="77777777" w:rsidR="00930B3C" w:rsidRPr="00930B3C" w:rsidRDefault="00930B3C" w:rsidP="001F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sisu lühikirjeldus (eesti k)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04F3C" w14:textId="77777777" w:rsidR="00374DE2" w:rsidRPr="00D260CE" w:rsidRDefault="003854DA" w:rsidP="00D26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B</w:t>
            </w:r>
            <w:r w:rsidR="00374DE2" w:rsidRPr="008C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akalaureuse eksam koosneb kahest osast:</w:t>
            </w:r>
          </w:p>
          <w:p w14:paraId="051C6A7F" w14:textId="7D10CAB9" w:rsidR="003854DA" w:rsidRPr="00697C22" w:rsidRDefault="003854DA" w:rsidP="003854D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</w:pPr>
            <w:r w:rsidRPr="0069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>1. </w:t>
            </w:r>
            <w:r w:rsidRPr="004F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 xml:space="preserve">auditoorne eksam 1 EAP: üliõpilane töötab eelnevalt läbi </w:t>
            </w:r>
            <w:r w:rsidR="000E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>valitud artiklid ja peatükid raamatutest</w:t>
            </w:r>
            <w:r w:rsidRPr="004F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 xml:space="preserve"> ning eksamil vesteldakse nendel teemadel, mis haakuvad tema uurimistöö teemaga. Üliõpilane on lubatud auditoorsele eksamile, kui tema kirjalik uurimistöö on esitatud;</w:t>
            </w:r>
          </w:p>
          <w:p w14:paraId="2E2E385E" w14:textId="77777777" w:rsidR="003854DA" w:rsidRPr="00697C22" w:rsidRDefault="003854DA" w:rsidP="00D260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</w:pPr>
            <w:r w:rsidRPr="004F6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>2. kirjalik uurimustöö 5 EAP: uurimustöö üldmaht on 11 EAP, millest 6 EAP on üliõpilane saanud aine AIG6331 </w:t>
            </w:r>
            <w:r w:rsidRPr="00697C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t-EE" w:eastAsia="en-US"/>
              </w:rPr>
              <w:t>Uurimistöö alused ja akadeemiline kirjutamine sooritamise eest ning ülejäänud 5 eap-d  on B</w:t>
            </w:r>
            <w:r w:rsidRPr="0069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>akalaureuse eksami osa (</w:t>
            </w:r>
            <w:r w:rsidR="0038736F" w:rsidRPr="0069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>sh</w:t>
            </w:r>
            <w:r w:rsidRPr="0069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n-US"/>
              </w:rPr>
              <w:t xml:space="preserve"> avalik kaitsmine).</w:t>
            </w:r>
          </w:p>
          <w:p w14:paraId="3E354AC3" w14:textId="77777777" w:rsidR="00930B3C" w:rsidRPr="00930B3C" w:rsidRDefault="00930B3C" w:rsidP="00385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97C22" w14:paraId="3776D5D6" w14:textId="77777777" w:rsidTr="00374DE2">
        <w:trPr>
          <w:trHeight w:val="88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0297A" w14:textId="77777777" w:rsidR="00930B3C" w:rsidRPr="00930B3C" w:rsidRDefault="00930B3C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sisu lühikirjeldus</w:t>
            </w:r>
          </w:p>
          <w:p w14:paraId="5903E30B" w14:textId="77777777" w:rsidR="00930B3C" w:rsidRPr="00930B3C" w:rsidRDefault="00930B3C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(inglise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9FFE8" w14:textId="77777777" w:rsidR="00374DE2" w:rsidRPr="008C1D97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The exam consists of two parts:</w:t>
            </w:r>
          </w:p>
          <w:p w14:paraId="374B11C4" w14:textId="77777777" w:rsidR="006852F5" w:rsidRPr="00671307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55F565AB" w14:textId="77777777" w:rsidR="00D260CE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1. oral exam –</w:t>
            </w:r>
            <w:r w:rsidR="00D260C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629F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EAP: </w:t>
            </w:r>
            <w:r w:rsidR="006471E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 s</w:t>
            </w:r>
            <w:r w:rsidR="0076254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tudent</w:t>
            </w:r>
            <w:r w:rsidR="006471E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</w:t>
            </w:r>
            <w:r w:rsidR="0076254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ha</w:t>
            </w:r>
            <w:r w:rsidR="006471E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ve</w:t>
            </w:r>
            <w:r w:rsidR="0076254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to preperar the assigned reading</w:t>
            </w:r>
            <w:r w:rsidR="006471E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</w:t>
            </w:r>
            <w:r w:rsidR="0076254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; the exam </w:t>
            </w:r>
            <w:r w:rsidR="00E25B8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is informal</w:t>
            </w:r>
            <w:r w:rsidR="006471E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.</w:t>
            </w:r>
            <w:r w:rsidR="00E25B8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6254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424A2651" w14:textId="77777777" w:rsidR="00930B3C" w:rsidRPr="00671307" w:rsidRDefault="00F73333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She/he</w:t>
            </w:r>
            <w:r w:rsidR="006852F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is allowed to the exam if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the</w:t>
            </w:r>
            <w:r w:rsidR="006852F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research paper has been handed over to the Institute.</w:t>
            </w:r>
          </w:p>
          <w:p w14:paraId="31ACB90F" w14:textId="77777777" w:rsidR="00D260CE" w:rsidRDefault="00D260CE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A4440CD" w14:textId="77777777" w:rsidR="006852F5" w:rsidRPr="00930B3C" w:rsidRDefault="006852F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2. written research paper 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r w:rsidR="00D260C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EAP: the 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total volume of the research paper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is </w:t>
            </w:r>
            <w:r w:rsidR="00D260C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11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EAP</w:t>
            </w:r>
            <w:r w:rsidR="00D260C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;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D260C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6 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credits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has been assessed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within subject </w:t>
            </w:r>
            <w:r w:rsidR="00D260CE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AIG6331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D260CE" w:rsidRPr="00F73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Introduction to Academic Research and Writing</w:t>
            </w:r>
            <w:r w:rsidR="00F76AB4" w:rsidRPr="00F733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,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while the other </w:t>
            </w:r>
            <w:r w:rsidR="00951322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5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credits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is 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part of the Bachelor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’s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Exam (</w:t>
            </w:r>
            <w:r w:rsidR="0038736F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incl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public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defen</w:t>
            </w:r>
            <w:r w:rsidR="00F73333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se</w:t>
            </w:r>
            <w:r w:rsidR="00F76AB4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).</w:t>
            </w:r>
          </w:p>
        </w:tc>
      </w:tr>
      <w:tr w:rsidR="00B02E78" w:rsidRPr="00697C22" w14:paraId="72C090B1" w14:textId="77777777" w:rsidTr="00374DE2">
        <w:trPr>
          <w:trHeight w:val="64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632A7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Iseseisev töö (eesti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22E8C" w14:textId="77777777" w:rsidR="00930B3C" w:rsidRPr="00930B3C" w:rsidRDefault="003629F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Kohustusliku</w:t>
            </w:r>
            <w:r w:rsidR="00930B3C"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kirjanduse põhjalik läbitöötamine</w:t>
            </w:r>
            <w:r w:rsidR="00930B3C"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</w:t>
            </w:r>
            <w:r w:rsidR="00F76AB4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Uurimistöö kirjutamine.</w:t>
            </w:r>
          </w:p>
        </w:tc>
      </w:tr>
      <w:tr w:rsidR="00B02E78" w:rsidRPr="00697C22" w14:paraId="3DB3990F" w14:textId="77777777" w:rsidTr="00374DE2">
        <w:trPr>
          <w:trHeight w:val="42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BBC5A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Iseseisev töö (ingl.k)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5B1D3" w14:textId="77777777" w:rsidR="00930B3C" w:rsidRPr="0038736F" w:rsidRDefault="0038736F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8736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Comprehensive reading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of compulsory literature; writing a research paper</w:t>
            </w:r>
          </w:p>
        </w:tc>
      </w:tr>
      <w:tr w:rsidR="00B02E78" w:rsidRPr="00697C22" w14:paraId="23F20427" w14:textId="77777777" w:rsidTr="00374DE2">
        <w:trPr>
          <w:trHeight w:val="198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3B123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lastRenderedPageBreak/>
              <w:t>Õppeaine õpiväljundid (eesti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F59A4" w14:textId="77777777" w:rsidR="00F76AB4" w:rsidRPr="003629F4" w:rsidRDefault="00F76AB4" w:rsidP="003629F4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62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 xml:space="preserve">Auditoorne eksam </w:t>
            </w:r>
          </w:p>
          <w:p w14:paraId="080EBED3" w14:textId="77777777"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8BB5AC0" w14:textId="77777777" w:rsidR="000C22ED" w:rsidRPr="00671307" w:rsidRDefault="000C22ED" w:rsidP="000C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oskab analüüsida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loetud materjali,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toetudes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senistes õpingutes omandatud teadmistele</w:t>
            </w:r>
          </w:p>
          <w:p w14:paraId="7151B357" w14:textId="1B429682" w:rsidR="00085AD1" w:rsidRDefault="000C22ED" w:rsidP="0008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oskab analüüsida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loetud materjali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oma kirjaliku uurim</w:t>
            </w:r>
            <w:r w:rsidR="000E36D5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stöö kontekstis</w:t>
            </w:r>
          </w:p>
          <w:p w14:paraId="6494A9A1" w14:textId="4FEF3B85" w:rsidR="00B40096" w:rsidRDefault="00B40096" w:rsidP="00085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mõistab ajalooteaduse positsiooni ja eripärasid laiemas humanitaarteaduste kontekstis</w:t>
            </w:r>
          </w:p>
          <w:p w14:paraId="6659FA8D" w14:textId="77777777" w:rsidR="00F76AB4" w:rsidRPr="00671307" w:rsidRDefault="00F76AB4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24EDED6F" w14:textId="77777777" w:rsidR="00F76AB4" w:rsidRPr="00671307" w:rsidRDefault="00F76AB4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t-EE"/>
              </w:rPr>
              <w:t>2. Kirjalik uurimistöö</w:t>
            </w:r>
          </w:p>
          <w:p w14:paraId="56BA789D" w14:textId="77777777" w:rsidR="00F76AB4" w:rsidRPr="00671307" w:rsidRDefault="00F76AB4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AB20F34" w14:textId="77777777" w:rsidR="003629F4" w:rsidRPr="00671307" w:rsidRDefault="003629F4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oskab koguda andmeid ja töötada</w:t>
            </w:r>
            <w:r w:rsidRPr="00680E5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allikatega</w:t>
            </w:r>
          </w:p>
          <w:p w14:paraId="2BFE1482" w14:textId="2FE1FB3A" w:rsidR="003629F4" w:rsidRPr="00671307" w:rsidRDefault="003629F4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suudab kirjutada analüütilisel teemakäsitlusel põhineva </w:t>
            </w:r>
            <w:r w:rsidR="00E307D9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uurimistöö</w:t>
            </w:r>
          </w:p>
          <w:p w14:paraId="4D65982A" w14:textId="77777777" w:rsidR="003629F4" w:rsidRDefault="003629F4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tunneb formaalseid uurimistöö vormistamise reegleid</w:t>
            </w:r>
          </w:p>
          <w:p w14:paraId="4D8B7466" w14:textId="77777777" w:rsidR="003629F4" w:rsidRPr="00671307" w:rsidRDefault="003629F4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oskab koostada loogilise ülesehitusega 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heas keeles teksti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9FD5188" w14:textId="77777777" w:rsidR="003629F4" w:rsidRPr="00671307" w:rsidRDefault="003629F4" w:rsidP="0036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- suudab kaitsta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uurimistöös püstitatud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seisukohti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avalikul esinemisel</w:t>
            </w:r>
            <w:r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062DBE81" w14:textId="77777777" w:rsidR="00930B3C" w:rsidRPr="00930B3C" w:rsidRDefault="00930B3C" w:rsidP="0036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97C22" w14:paraId="3E5D2F95" w14:textId="77777777" w:rsidTr="00374DE2">
        <w:trPr>
          <w:trHeight w:val="64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602DE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Õppeaine õpiväljundid (ingl.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8C90E" w14:textId="77777777"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1. Oral exam </w:t>
            </w:r>
          </w:p>
          <w:p w14:paraId="4A45DFB9" w14:textId="77777777" w:rsidR="00404D66" w:rsidRPr="00671307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5A49A8A" w14:textId="77777777" w:rsidR="00404D66" w:rsidRPr="00B40096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400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is able to analyse texts on the basis of </w:t>
            </w:r>
            <w:r w:rsidR="0038736F" w:rsidRPr="00B400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knowledge acquired during the previous studies</w:t>
            </w:r>
            <w:r w:rsidR="006543B5" w:rsidRPr="00B400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96A15BE" w14:textId="510A8456" w:rsidR="00404D66" w:rsidRPr="00B40096" w:rsidRDefault="006543B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400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is able to analyse texts </w:t>
            </w:r>
            <w:r w:rsidR="009A61A7" w:rsidRPr="00B4009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in the context of his/her research topics </w:t>
            </w:r>
          </w:p>
          <w:p w14:paraId="195D9A0E" w14:textId="77777777" w:rsidR="00700AED" w:rsidRDefault="00B40096" w:rsidP="0070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700A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700AED" w:rsidRPr="00700A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</w:t>
            </w:r>
            <w:r w:rsidR="00700AED" w:rsidRPr="00B12F7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able to comprehend the position and specific feature of the perception of the past in the wider context of humanities</w:t>
            </w:r>
          </w:p>
          <w:p w14:paraId="10F673EB" w14:textId="77777777" w:rsidR="00B40096" w:rsidRPr="00A949EA" w:rsidRDefault="00B4009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BA3FCE8" w14:textId="77777777" w:rsidR="00404D66" w:rsidRPr="00A949EA" w:rsidRDefault="00404D66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94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2. </w:t>
            </w:r>
            <w:r w:rsidR="001019C1" w:rsidRPr="00A949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Written Research paper</w:t>
            </w:r>
          </w:p>
          <w:p w14:paraId="4D2A276C" w14:textId="77777777" w:rsidR="00404D66" w:rsidRPr="00A949EA" w:rsidRDefault="00404D66" w:rsidP="00671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5373D96" w14:textId="77777777" w:rsidR="001019C1" w:rsidRPr="00A949EA" w:rsidRDefault="00404D66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1019C1"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 able to g</w:t>
            </w:r>
            <w:r w:rsid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</w:t>
            </w:r>
            <w:r w:rsidR="001019C1"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ther data and to work with sources</w:t>
            </w:r>
          </w:p>
          <w:p w14:paraId="13429E27" w14:textId="77777777" w:rsidR="001019C1" w:rsidRPr="00A949EA" w:rsidRDefault="001019C1" w:rsidP="00A9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is able to write a research paper based on the anal</w:t>
            </w:r>
            <w:r w:rsid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</w:t>
            </w: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tical approach to the topic</w:t>
            </w:r>
          </w:p>
          <w:p w14:paraId="7DB9FEE7" w14:textId="77777777" w:rsidR="001019C1" w:rsidRPr="00A949EA" w:rsidRDefault="001019C1" w:rsidP="00A9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knows the submission requir</w:t>
            </w:r>
            <w:r w:rsid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ment for the research paper and is able to produce a logically organised and linguistically correct text</w:t>
            </w:r>
          </w:p>
          <w:p w14:paraId="6374E1B9" w14:textId="77777777" w:rsidR="00404D66" w:rsidRPr="00A949EA" w:rsidRDefault="001019C1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presents</w:t>
            </w: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his/her research </w:t>
            </w:r>
            <w:r w:rsid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results at the public defence</w:t>
            </w:r>
            <w:r w:rsidRPr="00A949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6044F26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97C22" w14:paraId="45D9FA55" w14:textId="77777777" w:rsidTr="00374DE2">
        <w:trPr>
          <w:trHeight w:val="88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74B9C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Hindamismeetodid</w:t>
            </w:r>
          </w:p>
          <w:p w14:paraId="051C6968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(eesti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46411" w14:textId="77777777" w:rsidR="00930B3C" w:rsidRPr="00671307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Eksam</w:t>
            </w:r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koosneb kahes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 osast.</w:t>
            </w:r>
            <w:r w:rsidR="00E70CA5" w:rsidRPr="0067130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Mõlemat osa hinnatakse järgmiselt:</w:t>
            </w:r>
          </w:p>
          <w:p w14:paraId="797FBD3C" w14:textId="77777777" w:rsidR="00E70CA5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48B9791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</w:t>
            </w:r>
            <w:r w:rsidR="00E70CA5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ne A ehk 'Suurepärane'</w:t>
            </w:r>
          </w:p>
          <w:p w14:paraId="6A425763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Hinne B ehk 'Väga </w:t>
            </w:r>
            <w:r w:rsidR="00E70CA5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hea'</w:t>
            </w:r>
          </w:p>
          <w:p w14:paraId="0E1F5645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Hinne C ehk 'Hea'</w:t>
            </w:r>
          </w:p>
          <w:p w14:paraId="633D5EB8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</w:t>
            </w:r>
            <w:r w:rsidR="00E70CA5"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inne D ehk 'Rahuldav'</w:t>
            </w:r>
          </w:p>
          <w:p w14:paraId="4467A7E3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Hinne E ehk 'Kasin'</w:t>
            </w:r>
          </w:p>
          <w:p w14:paraId="57A090A5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Hinne F ehk 'Puudulik'</w:t>
            </w:r>
          </w:p>
        </w:tc>
      </w:tr>
      <w:tr w:rsidR="00B02E78" w:rsidRPr="00697C22" w14:paraId="12A1807B" w14:textId="77777777" w:rsidTr="00374DE2">
        <w:trPr>
          <w:trHeight w:val="88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57A66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lastRenderedPageBreak/>
              <w:t>Hindamismeetodid</w:t>
            </w:r>
          </w:p>
          <w:p w14:paraId="0E158E00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(inglise k.)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53B89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The exam consists of </w:t>
            </w:r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two parts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. Both parts are assessed as follows:</w:t>
            </w:r>
          </w:p>
          <w:p w14:paraId="39F9F70C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A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Excellent</w:t>
            </w:r>
          </w:p>
          <w:p w14:paraId="45876000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B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Very good</w:t>
            </w:r>
          </w:p>
          <w:p w14:paraId="757AB544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C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Good</w:t>
            </w:r>
          </w:p>
          <w:p w14:paraId="7F88E6AA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D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Sufficient</w:t>
            </w:r>
          </w:p>
          <w:p w14:paraId="4205F66D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E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Weak</w:t>
            </w:r>
          </w:p>
          <w:p w14:paraId="79CB985F" w14:textId="77777777" w:rsidR="00930B3C" w:rsidRPr="00930B3C" w:rsidRDefault="00E70CA5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8C1D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 xml:space="preserve">F - </w:t>
            </w:r>
            <w:r w:rsidR="00930B3C" w:rsidRPr="00930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  <w:t>Fail</w:t>
            </w:r>
          </w:p>
        </w:tc>
      </w:tr>
      <w:tr w:rsidR="00B02E78" w:rsidRPr="00671307" w14:paraId="2325AB03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AADD9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Vastutav õppejõud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C3C64" w14:textId="77777777" w:rsidR="00930B3C" w:rsidRPr="00930B3C" w:rsidRDefault="00374DE2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="0002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Kersti Markus</w:t>
            </w:r>
          </w:p>
        </w:tc>
      </w:tr>
      <w:tr w:rsidR="00B02E78" w:rsidRPr="00697C22" w14:paraId="14485925" w14:textId="77777777" w:rsidTr="00374DE2">
        <w:trPr>
          <w:trHeight w:val="360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E4E1B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Eeldusaine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74E9A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Bakalaureuseeksamile tulles peavad üliõpilased olema sooritanud kõik </w:t>
            </w:r>
            <w:r w:rsidR="00E70CA5" w:rsidRPr="00671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ettenähtud ained täies mahus</w:t>
            </w: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. </w:t>
            </w:r>
          </w:p>
          <w:p w14:paraId="0D7F6043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6A9C968C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</w:p>
        </w:tc>
      </w:tr>
      <w:tr w:rsidR="00B02E78" w:rsidRPr="00671307" w14:paraId="51BE019C" w14:textId="77777777" w:rsidTr="008C1D97">
        <w:trPr>
          <w:trHeight w:val="913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0A394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Kohustuslik kirjandus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E478E" w14:textId="77777777" w:rsidR="00700AED" w:rsidRDefault="00700AED" w:rsidP="00700AED">
            <w:pPr>
              <w:pStyle w:val="Pealkiri1"/>
              <w:spacing w:before="0" w:after="0" w:line="31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 xml:space="preserve">Enn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Tarvel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. Kas ajalugu saab kirjutada objektiivselt? Tuna 3/2005, lk 4–9.</w:t>
            </w:r>
          </w:p>
          <w:p w14:paraId="655EA288" w14:textId="77777777" w:rsidR="000C22ED" w:rsidRDefault="000C22ED" w:rsidP="000C22ED">
            <w:pPr>
              <w:pStyle w:val="Pealkiri1"/>
              <w:spacing w:before="0" w:after="0" w:line="31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Jörn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Rüsen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. Ajaloolise mõtestamise struktuurid. Tuna 2/1999, lk 29–36.</w:t>
            </w:r>
          </w:p>
          <w:p w14:paraId="7A8E3191" w14:textId="13D89565" w:rsidR="000C22ED" w:rsidRDefault="000C22ED" w:rsidP="000C22ED">
            <w:pPr>
              <w:pStyle w:val="Pealkiri1"/>
              <w:spacing w:before="0" w:after="0" w:line="31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Mart Kivimäe. Kuidas mõista ajalookirjutust? Saateks Jörn Rüseni artiklile. Tuna 2/1999, lk 36–41.</w:t>
            </w:r>
          </w:p>
          <w:p w14:paraId="76E7FEE2" w14:textId="11D9F774" w:rsidR="00700AED" w:rsidRPr="00700AED" w:rsidRDefault="00700AED" w:rsidP="00700AED">
            <w:pPr>
              <w:pStyle w:val="Pealkiri1"/>
              <w:spacing w:before="0" w:after="0" w:line="31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Eva Piirimäe. Teoreetilisi perspektiive 19. sajandi eesti rahvusluse uurimiseks. – Vene impeerium ja Baltikum: venestus, rahvuslus ja moderniseerimine 19. sajandi teisel poolel ja 20. sajandi alguses. Eesti Ajalooarhiivi Toimetised 16, 2009.</w:t>
            </w:r>
          </w:p>
          <w:p w14:paraId="5E0C1902" w14:textId="5FFAE793" w:rsidR="000C22ED" w:rsidRDefault="000C22ED" w:rsidP="000C22ED">
            <w:pPr>
              <w:pStyle w:val="Pealkiri1"/>
              <w:spacing w:before="0" w:after="0" w:line="31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 xml:space="preserve">Toomas Karjahärm. Oleviku minevikud. Ajaloolase käsiraamat. Argo, 2010, lk </w:t>
            </w:r>
            <w:r w:rsidR="005B16F6" w:rsidRPr="005B16F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t-EE"/>
              </w:rPr>
              <w:t>17-57, 176-290</w:t>
            </w:r>
          </w:p>
          <w:p w14:paraId="11284A7B" w14:textId="77777777" w:rsidR="00671307" w:rsidRPr="00930B3C" w:rsidRDefault="00671307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02E78" w:rsidRPr="00697C22" w14:paraId="120FC054" w14:textId="77777777" w:rsidTr="008C1D97">
        <w:trPr>
          <w:trHeight w:val="1518"/>
        </w:trPr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0AEF8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Asenduskirjandus</w:t>
            </w:r>
          </w:p>
          <w:p w14:paraId="0F5505C9" w14:textId="77777777" w:rsidR="00930B3C" w:rsidRPr="00930B3C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93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(üliõpilase poolt läbi töötatava kirjanduse loetelu, mis katab ainekursuse loengulist osa)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BB182" w14:textId="77777777" w:rsidR="0029341A" w:rsidRDefault="00762546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  <w:t>Bakalaureuseeksamit ei ole võimalik kirjandusega asendada</w:t>
            </w:r>
          </w:p>
          <w:p w14:paraId="6065A420" w14:textId="77777777" w:rsidR="0029341A" w:rsidRPr="00671307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/>
              </w:rPr>
            </w:pPr>
            <w:bookmarkStart w:id="0" w:name="_GoBack"/>
            <w:bookmarkEnd w:id="0"/>
          </w:p>
          <w:p w14:paraId="36564454" w14:textId="77777777" w:rsidR="0029341A" w:rsidRDefault="0029341A" w:rsidP="00293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6882927" w14:textId="77777777" w:rsidR="0029341A" w:rsidRPr="00697C22" w:rsidRDefault="0029341A" w:rsidP="00293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09F8074" w14:textId="77777777" w:rsidR="00930B3C" w:rsidRPr="0029341A" w:rsidRDefault="00930B3C" w:rsidP="00671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0152165C" w14:textId="77777777" w:rsidR="00897057" w:rsidRPr="00697C22" w:rsidRDefault="00897057" w:rsidP="00671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1" w:name="_gjdgxs" w:colFirst="0" w:colLast="0"/>
      <w:bookmarkEnd w:id="1"/>
    </w:p>
    <w:sectPr w:rsidR="00897057" w:rsidRPr="00697C22" w:rsidSect="00222E3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F7D"/>
    <w:multiLevelType w:val="multilevel"/>
    <w:tmpl w:val="1E2CD5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F70EF"/>
    <w:multiLevelType w:val="hybridMultilevel"/>
    <w:tmpl w:val="391E8C38"/>
    <w:lvl w:ilvl="0" w:tplc="3B2206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A2B"/>
    <w:multiLevelType w:val="hybridMultilevel"/>
    <w:tmpl w:val="22D0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637B"/>
    <w:multiLevelType w:val="hybridMultilevel"/>
    <w:tmpl w:val="4BEAB2E4"/>
    <w:lvl w:ilvl="0" w:tplc="21DEB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3BA2"/>
    <w:multiLevelType w:val="multilevel"/>
    <w:tmpl w:val="DF94E6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AA6E2A"/>
    <w:multiLevelType w:val="hybridMultilevel"/>
    <w:tmpl w:val="0166E07C"/>
    <w:lvl w:ilvl="0" w:tplc="F35EE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F15B3"/>
    <w:multiLevelType w:val="multilevel"/>
    <w:tmpl w:val="613C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7"/>
    <w:rsid w:val="00020D69"/>
    <w:rsid w:val="00085AD1"/>
    <w:rsid w:val="000A2B30"/>
    <w:rsid w:val="000A4D37"/>
    <w:rsid w:val="000C22ED"/>
    <w:rsid w:val="000E36D5"/>
    <w:rsid w:val="001019C1"/>
    <w:rsid w:val="001221C8"/>
    <w:rsid w:val="00172F2F"/>
    <w:rsid w:val="001858D3"/>
    <w:rsid w:val="001F2718"/>
    <w:rsid w:val="002119DD"/>
    <w:rsid w:val="00214DB6"/>
    <w:rsid w:val="00222E39"/>
    <w:rsid w:val="00234B9B"/>
    <w:rsid w:val="0029341A"/>
    <w:rsid w:val="00313B35"/>
    <w:rsid w:val="003253E2"/>
    <w:rsid w:val="00326035"/>
    <w:rsid w:val="00344F9E"/>
    <w:rsid w:val="003629F4"/>
    <w:rsid w:val="00374DE2"/>
    <w:rsid w:val="003850EC"/>
    <w:rsid w:val="003854DA"/>
    <w:rsid w:val="0038736F"/>
    <w:rsid w:val="00404D66"/>
    <w:rsid w:val="00484AEC"/>
    <w:rsid w:val="004F5A6D"/>
    <w:rsid w:val="004F65F2"/>
    <w:rsid w:val="00516B56"/>
    <w:rsid w:val="00526062"/>
    <w:rsid w:val="00543EA4"/>
    <w:rsid w:val="00577937"/>
    <w:rsid w:val="00595648"/>
    <w:rsid w:val="005A407E"/>
    <w:rsid w:val="005B16F6"/>
    <w:rsid w:val="005C6B05"/>
    <w:rsid w:val="00611EFC"/>
    <w:rsid w:val="006155A3"/>
    <w:rsid w:val="0063238E"/>
    <w:rsid w:val="006471E9"/>
    <w:rsid w:val="006543B5"/>
    <w:rsid w:val="00671307"/>
    <w:rsid w:val="00675B06"/>
    <w:rsid w:val="00680ABD"/>
    <w:rsid w:val="00680E59"/>
    <w:rsid w:val="006852F5"/>
    <w:rsid w:val="00697C22"/>
    <w:rsid w:val="00697F95"/>
    <w:rsid w:val="006A1919"/>
    <w:rsid w:val="006C2167"/>
    <w:rsid w:val="006F392F"/>
    <w:rsid w:val="00700AED"/>
    <w:rsid w:val="007212FA"/>
    <w:rsid w:val="007345C3"/>
    <w:rsid w:val="007408B8"/>
    <w:rsid w:val="00762546"/>
    <w:rsid w:val="00763577"/>
    <w:rsid w:val="007E39DE"/>
    <w:rsid w:val="007F13F1"/>
    <w:rsid w:val="0080565E"/>
    <w:rsid w:val="008775EB"/>
    <w:rsid w:val="00881152"/>
    <w:rsid w:val="0088167D"/>
    <w:rsid w:val="00897057"/>
    <w:rsid w:val="008C1D97"/>
    <w:rsid w:val="008E4377"/>
    <w:rsid w:val="009141B6"/>
    <w:rsid w:val="00930B3C"/>
    <w:rsid w:val="00951322"/>
    <w:rsid w:val="009A61A7"/>
    <w:rsid w:val="009C3144"/>
    <w:rsid w:val="009F2869"/>
    <w:rsid w:val="00A37F0D"/>
    <w:rsid w:val="00A56A9A"/>
    <w:rsid w:val="00A833EC"/>
    <w:rsid w:val="00A930B5"/>
    <w:rsid w:val="00A949EA"/>
    <w:rsid w:val="00AD61F4"/>
    <w:rsid w:val="00B02E78"/>
    <w:rsid w:val="00B22AFA"/>
    <w:rsid w:val="00B40096"/>
    <w:rsid w:val="00B671C8"/>
    <w:rsid w:val="00BB0E71"/>
    <w:rsid w:val="00C1144E"/>
    <w:rsid w:val="00C1749D"/>
    <w:rsid w:val="00C41BE6"/>
    <w:rsid w:val="00C76B04"/>
    <w:rsid w:val="00CB08B5"/>
    <w:rsid w:val="00CB10BF"/>
    <w:rsid w:val="00CD0F60"/>
    <w:rsid w:val="00CF3DEE"/>
    <w:rsid w:val="00D260CE"/>
    <w:rsid w:val="00E25B8F"/>
    <w:rsid w:val="00E307D9"/>
    <w:rsid w:val="00E36684"/>
    <w:rsid w:val="00E376A8"/>
    <w:rsid w:val="00E548C0"/>
    <w:rsid w:val="00E70C5D"/>
    <w:rsid w:val="00E70CA5"/>
    <w:rsid w:val="00EA7590"/>
    <w:rsid w:val="00ED686D"/>
    <w:rsid w:val="00EF1DED"/>
    <w:rsid w:val="00F252EE"/>
    <w:rsid w:val="00F374D0"/>
    <w:rsid w:val="00F430FE"/>
    <w:rsid w:val="00F73333"/>
    <w:rsid w:val="00F76AB4"/>
    <w:rsid w:val="00F96597"/>
    <w:rsid w:val="00FA51E2"/>
    <w:rsid w:val="00FB60C9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E5BB"/>
  <w15:docId w15:val="{DA2AC78D-8169-CA44-A11F-D7AEF118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222E39"/>
  </w:style>
  <w:style w:type="paragraph" w:styleId="Pealkiri1">
    <w:name w:val="heading 1"/>
    <w:basedOn w:val="Normaallaad"/>
    <w:next w:val="Normaallaad"/>
    <w:rsid w:val="00222E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rsid w:val="00222E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rsid w:val="00222E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rsid w:val="00222E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rsid w:val="00222E39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rsid w:val="00222E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rsid w:val="00222E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rsid w:val="00222E39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rsid w:val="00222E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22E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oendilik">
    <w:name w:val="List Paragraph"/>
    <w:basedOn w:val="Normaallaad"/>
    <w:uiPriority w:val="34"/>
    <w:qFormat/>
    <w:rsid w:val="00F430FE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93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Hperlink">
    <w:name w:val="Hyperlink"/>
    <w:basedOn w:val="Liguvaikefont"/>
    <w:rsid w:val="00E70CA5"/>
    <w:rPr>
      <w:color w:val="0000FF"/>
      <w:u w:val="single"/>
    </w:rPr>
  </w:style>
  <w:style w:type="character" w:customStyle="1" w:styleId="a0">
    <w:name w:val="название"/>
    <w:basedOn w:val="Liguvaikefont"/>
    <w:uiPriority w:val="99"/>
    <w:rsid w:val="00671307"/>
    <w:rPr>
      <w:rFonts w:cs="Times New Roman"/>
    </w:rPr>
  </w:style>
  <w:style w:type="paragraph" w:customStyle="1" w:styleId="TableContents">
    <w:name w:val="Table Contents"/>
    <w:basedOn w:val="Normaallaad"/>
    <w:rsid w:val="00671307"/>
    <w:pPr>
      <w:widowControl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t-EE" w:eastAsia="ja-JP"/>
    </w:rPr>
  </w:style>
  <w:style w:type="character" w:customStyle="1" w:styleId="apple-converted-space">
    <w:name w:val="apple-converted-space"/>
    <w:basedOn w:val="Liguvaikefont"/>
    <w:rsid w:val="004F65F2"/>
  </w:style>
  <w:style w:type="character" w:styleId="Kommentaariviide">
    <w:name w:val="annotation reference"/>
    <w:basedOn w:val="Liguvaikefont"/>
    <w:uiPriority w:val="99"/>
    <w:semiHidden/>
    <w:unhideWhenUsed/>
    <w:rsid w:val="008E437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E437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E437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E437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E437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E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E4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E0D6-52A9-4B48-B586-BFA6AF2E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1421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natatsh</dc:creator>
  <cp:lastModifiedBy>Siiri Soidro</cp:lastModifiedBy>
  <cp:revision>3</cp:revision>
  <dcterms:created xsi:type="dcterms:W3CDTF">2019-03-14T16:32:00Z</dcterms:created>
  <dcterms:modified xsi:type="dcterms:W3CDTF">2019-03-14T16:36:00Z</dcterms:modified>
</cp:coreProperties>
</file>