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2811" w:rsidRDefault="00662811" w:rsidP="00662811">
      <w:pPr>
        <w:pStyle w:val="Heading1"/>
        <w:jc w:val="both"/>
      </w:pPr>
      <w:r>
        <w:t xml:space="preserve">Juhend lõputöö </w:t>
      </w:r>
      <w:proofErr w:type="spellStart"/>
      <w:r>
        <w:t>retsenseerijale</w:t>
      </w:r>
      <w:proofErr w:type="spellEnd"/>
    </w:p>
    <w:p w:rsidR="00B40E30" w:rsidRPr="00B40E30" w:rsidRDefault="00B40E30" w:rsidP="00B40E30">
      <w:pPr>
        <w:rPr>
          <w:b/>
        </w:rPr>
      </w:pPr>
      <w:r w:rsidRPr="00B40E30">
        <w:rPr>
          <w:b/>
        </w:rPr>
        <w:t>TLÜ loodus- ja terviseteaduste instituut</w:t>
      </w:r>
    </w:p>
    <w:p w:rsidR="00FC79CF" w:rsidRDefault="00FC79CF" w:rsidP="00662811">
      <w:pPr>
        <w:pStyle w:val="Heading1"/>
        <w:jc w:val="both"/>
        <w:rPr>
          <w:b w:val="0"/>
        </w:rPr>
      </w:pPr>
      <w:r w:rsidRPr="00FC79CF">
        <w:rPr>
          <w:b w:val="0"/>
        </w:rPr>
        <w:t>Juhend „</w:t>
      </w:r>
      <w:r w:rsidRPr="00FC79CF">
        <w:t>Loodus- ja terviseteaduste instituudi lõputööde ja üliõpilastööde vormistamise nõuded</w:t>
      </w:r>
      <w:r w:rsidRPr="00FC79CF">
        <w:rPr>
          <w:b w:val="0"/>
        </w:rPr>
        <w:t xml:space="preserve">“  on kättesaadav </w:t>
      </w:r>
      <w:hyperlink r:id="rId5" w:history="1">
        <w:r w:rsidRPr="00FC79CF">
          <w:rPr>
            <w:rStyle w:val="Hyperlink"/>
            <w:b w:val="0"/>
          </w:rPr>
          <w:t>siit</w:t>
        </w:r>
      </w:hyperlink>
      <w:r w:rsidRPr="00FC79CF">
        <w:rPr>
          <w:b w:val="0"/>
        </w:rPr>
        <w:t xml:space="preserve">. </w:t>
      </w:r>
      <w:r>
        <w:rPr>
          <w:b w:val="0"/>
        </w:rPr>
        <w:t xml:space="preserve"> Selle osana on kinnitatud retsenseerimise üldnõuded.</w:t>
      </w:r>
    </w:p>
    <w:p w:rsidR="00FC79CF" w:rsidRPr="00FC79CF" w:rsidRDefault="00FC79CF" w:rsidP="00FC79CF">
      <w:r w:rsidRPr="00B40E30">
        <w:rPr>
          <w:b/>
        </w:rPr>
        <w:t>Loodusteaduste</w:t>
      </w:r>
      <w:r>
        <w:t xml:space="preserve"> valdkonnaspetsiifilise juhise retsensendile leiad praeguse juhendi lisast.</w:t>
      </w:r>
    </w:p>
    <w:p w:rsidR="00662811" w:rsidRDefault="00662811" w:rsidP="00662811">
      <w:pPr>
        <w:pStyle w:val="Heading1"/>
        <w:jc w:val="both"/>
      </w:pPr>
      <w:r>
        <w:t>Retsenseerimine</w:t>
      </w:r>
    </w:p>
    <w:p w:rsidR="00662811" w:rsidRDefault="00662811" w:rsidP="00662811">
      <w:r>
        <w:t xml:space="preserve">Lõputööle antakse hinnang kirjaliku retsensiooniga. Retsensendi haridus peab vastama </w:t>
      </w:r>
      <w:r w:rsidR="00B40E30">
        <w:t>õppekorralduse eeskirja</w:t>
      </w:r>
      <w:r>
        <w:t xml:space="preserve"> paragrahv 27 lõikes 4 sätestatule. Retsensendi määramisel välditakse huvide konflikti, ent arvestatakse retsensendi hariduse ja pädevusega lõputöö valdkonnas. </w:t>
      </w:r>
    </w:p>
    <w:p w:rsidR="00662811" w:rsidRDefault="00662811" w:rsidP="00662811">
      <w:pPr>
        <w:rPr>
          <w:color w:val="000000"/>
        </w:rPr>
      </w:pPr>
      <w:r>
        <w:rPr>
          <w:color w:val="000000"/>
        </w:rPr>
        <w:t>Akadeemiline üksus kontrollib üliõpilaste lõputöid plagiaadituvastussüsteemi abil ning teeb tulemused teatavaks retsensendile ja kaitsmiskomisjonile</w:t>
      </w:r>
      <w:r>
        <w:t>.</w:t>
      </w:r>
    </w:p>
    <w:p w:rsidR="00662811" w:rsidRDefault="00662811" w:rsidP="00662811">
      <w:bookmarkStart w:id="0" w:name="_heading=h.kgcv8k" w:colFirst="0" w:colLast="0"/>
      <w:bookmarkEnd w:id="0"/>
      <w:r>
        <w:t xml:space="preserve">Retsensioon (soovitatavalt kuni 2 lk) sisaldab </w:t>
      </w:r>
      <w:proofErr w:type="spellStart"/>
      <w:r>
        <w:t>üldhinnangut</w:t>
      </w:r>
      <w:proofErr w:type="spellEnd"/>
      <w:r>
        <w:t xml:space="preserve"> eesmärgile, töö teoreetilise osa ja valitud metoodika vastavusele, tulemustele ja järeldustele ning vormistusele. Retsensioon võib sisaldada küsimusi kaitsjale. Retsensent võib nendest küsimustest lähtuda akadeemilises diskussioonis. Retsensent peab arvestama hinnangu andmisel lõputöö mahtu ja lähtuma hinnangu andmisel kehtivast vormistusjuhendist ja selles reguleerimata juhtudel heast rahvusvahelisest tavast.</w:t>
      </w:r>
    </w:p>
    <w:p w:rsidR="00662811" w:rsidRDefault="00662811" w:rsidP="00662811">
      <w:r>
        <w:t>Üliõpilasele saadetakse retsensioon hiljemalt üks tööpäev (24 tundi) enne kaitsmist. Retsensioon ei sisalda ettepanekut üliõpilase hinde osas.</w:t>
      </w:r>
    </w:p>
    <w:p w:rsidR="00662811" w:rsidRDefault="00662811" w:rsidP="00662811">
      <w:pPr>
        <w:rPr>
          <w:color w:val="000000"/>
        </w:rPr>
      </w:pPr>
      <w:r>
        <w:rPr>
          <w:color w:val="000000"/>
        </w:rPr>
        <w:t>Retsensioon võib olla detailsem ja põhjalikum, ent selle ettekandmine peab jääma kokkulepitud aja piiresse (retsensent peab lähtuma etteantud ajast ning tooma suuliselt välja olulisemad tähelepanekud kirjapandust), arvestades mh akadeemilisele diskussioonile kavandatud aega tervikuna.</w:t>
      </w:r>
    </w:p>
    <w:p w:rsidR="00662811" w:rsidRPr="00FC79CF" w:rsidRDefault="00662811" w:rsidP="00662811">
      <w:pPr>
        <w:rPr>
          <w:color w:val="000000"/>
        </w:rPr>
      </w:pPr>
      <w:r>
        <w:rPr>
          <w:color w:val="000000"/>
        </w:rPr>
        <w:t>Kaitsmiskomisjon võib lõputööga seonduva akadeemiliste tavade eiramise (plagiaat) tuvastamisel enne lõputöö kaitsmist küsida esitatud töö kohta selgitusi ning keelduda üliõpilase lubamisest kaitsmisele, hiljemalt üks tööpäev enne kaitsmist.</w:t>
      </w:r>
    </w:p>
    <w:p w:rsidR="00FC79CF" w:rsidRDefault="00FC79CF" w:rsidP="00662811">
      <w:pPr>
        <w:rPr>
          <w:b/>
        </w:rPr>
      </w:pPr>
    </w:p>
    <w:p w:rsidR="00662811" w:rsidRDefault="00662811" w:rsidP="00662811">
      <w:pPr>
        <w:jc w:val="right"/>
        <w:rPr>
          <w:b/>
        </w:rPr>
      </w:pPr>
      <w:r>
        <w:rPr>
          <w:b/>
        </w:rPr>
        <w:lastRenderedPageBreak/>
        <w:t>Lisa</w:t>
      </w:r>
    </w:p>
    <w:p w:rsidR="00662811" w:rsidRPr="009E6B1B" w:rsidRDefault="00662811" w:rsidP="00662811">
      <w:pPr>
        <w:rPr>
          <w:b/>
        </w:rPr>
      </w:pPr>
      <w:r w:rsidRPr="009E6B1B">
        <w:rPr>
          <w:b/>
        </w:rPr>
        <w:t xml:space="preserve">TLÜ loodus- ja terviseteaduste instituudi loodusteaduste </w:t>
      </w:r>
      <w:r>
        <w:rPr>
          <w:b/>
        </w:rPr>
        <w:t xml:space="preserve">valdkonna </w:t>
      </w:r>
      <w:r w:rsidRPr="009E6B1B">
        <w:rPr>
          <w:b/>
        </w:rPr>
        <w:t>lõputööde retsenseerimise juhend</w:t>
      </w:r>
    </w:p>
    <w:p w:rsidR="00662811" w:rsidRPr="00662811" w:rsidRDefault="00662811" w:rsidP="00662811">
      <w:pPr>
        <w:rPr>
          <w:sz w:val="16"/>
          <w:szCs w:val="16"/>
        </w:rPr>
      </w:pPr>
      <w:bookmarkStart w:id="1" w:name="_GoBack"/>
      <w:bookmarkEnd w:id="1"/>
    </w:p>
    <w:p w:rsidR="00662811" w:rsidRPr="00662811" w:rsidRDefault="00662811" w:rsidP="00662811">
      <w:pPr>
        <w:rPr>
          <w:sz w:val="22"/>
          <w:szCs w:val="22"/>
        </w:rPr>
      </w:pPr>
      <w:r w:rsidRPr="009E6B1B">
        <w:rPr>
          <w:sz w:val="22"/>
          <w:szCs w:val="22"/>
        </w:rPr>
        <w:t xml:space="preserve">Juhend on mõeldud abimaterjaliks loodusteaduste erialade bakalaureuse- ja magistritööde </w:t>
      </w:r>
      <w:proofErr w:type="spellStart"/>
      <w:r w:rsidRPr="009E6B1B">
        <w:rPr>
          <w:sz w:val="22"/>
          <w:szCs w:val="22"/>
        </w:rPr>
        <w:t>retsenseerijatele</w:t>
      </w:r>
      <w:proofErr w:type="spellEnd"/>
      <w:r w:rsidRPr="009E6B1B">
        <w:rPr>
          <w:sz w:val="22"/>
          <w:szCs w:val="22"/>
        </w:rPr>
        <w:t xml:space="preserve">. </w:t>
      </w:r>
    </w:p>
    <w:p w:rsidR="00662811" w:rsidRPr="009E6B1B" w:rsidRDefault="00662811" w:rsidP="00662811">
      <w:pPr>
        <w:rPr>
          <w:sz w:val="20"/>
          <w:szCs w:val="20"/>
        </w:rPr>
      </w:pPr>
      <w:r w:rsidRPr="009E6B1B">
        <w:rPr>
          <w:sz w:val="20"/>
          <w:szCs w:val="20"/>
        </w:rPr>
        <w:t>Retsenseerimisel palume pöörata tähelepanu järgmisele:</w:t>
      </w:r>
    </w:p>
    <w:p w:rsidR="00662811" w:rsidRPr="00662811" w:rsidRDefault="00662811" w:rsidP="00662811">
      <w:pPr>
        <w:rPr>
          <w:b/>
          <w:sz w:val="20"/>
          <w:szCs w:val="20"/>
        </w:rPr>
      </w:pPr>
      <w:r w:rsidRPr="009E6B1B">
        <w:rPr>
          <w:b/>
          <w:sz w:val="20"/>
          <w:szCs w:val="20"/>
        </w:rPr>
        <w:t>Töö eesmärk ja selle saavutatus</w:t>
      </w:r>
    </w:p>
    <w:p w:rsidR="00662811" w:rsidRPr="00662811" w:rsidRDefault="00662811" w:rsidP="00662811">
      <w:pPr>
        <w:numPr>
          <w:ilvl w:val="0"/>
          <w:numId w:val="2"/>
        </w:numPr>
        <w:pBdr>
          <w:top w:val="nil"/>
          <w:left w:val="nil"/>
          <w:bottom w:val="nil"/>
          <w:right w:val="nil"/>
          <w:between w:val="nil"/>
        </w:pBdr>
        <w:spacing w:before="0" w:after="0" w:line="240" w:lineRule="auto"/>
        <w:jc w:val="left"/>
        <w:rPr>
          <w:color w:val="000000"/>
          <w:sz w:val="20"/>
          <w:szCs w:val="20"/>
        </w:rPr>
      </w:pPr>
      <w:r w:rsidRPr="009E6B1B">
        <w:rPr>
          <w:color w:val="000000"/>
          <w:sz w:val="20"/>
          <w:szCs w:val="20"/>
        </w:rPr>
        <w:t>Kas käsitletav probleem ja töö eesmärk on selgelt sõnastatud, teema olulisus põhjendatud ning sisu vastavuses töö pealkirjaga?</w:t>
      </w:r>
    </w:p>
    <w:p w:rsidR="00662811" w:rsidRPr="00662811" w:rsidRDefault="00662811" w:rsidP="00662811">
      <w:pPr>
        <w:numPr>
          <w:ilvl w:val="0"/>
          <w:numId w:val="2"/>
        </w:numPr>
        <w:pBdr>
          <w:top w:val="nil"/>
          <w:left w:val="nil"/>
          <w:bottom w:val="nil"/>
          <w:right w:val="nil"/>
          <w:between w:val="nil"/>
        </w:pBdr>
        <w:spacing w:before="0" w:after="0" w:line="240" w:lineRule="auto"/>
        <w:jc w:val="left"/>
        <w:rPr>
          <w:color w:val="000000"/>
          <w:sz w:val="20"/>
          <w:szCs w:val="20"/>
        </w:rPr>
      </w:pPr>
      <w:r w:rsidRPr="009E6B1B">
        <w:rPr>
          <w:color w:val="000000"/>
          <w:sz w:val="20"/>
          <w:szCs w:val="20"/>
        </w:rPr>
        <w:t>Kas  eesmärgi saavutamiseks vajalikud uurimisküsimused, uurimisülesanded või hüpoteesid  (sõltuvalt töö suunitlusest) on selgelt sõnastatud?</w:t>
      </w:r>
    </w:p>
    <w:p w:rsidR="00662811" w:rsidRPr="00662811" w:rsidRDefault="00662811" w:rsidP="00662811">
      <w:pPr>
        <w:numPr>
          <w:ilvl w:val="0"/>
          <w:numId w:val="2"/>
        </w:numPr>
        <w:pBdr>
          <w:top w:val="nil"/>
          <w:left w:val="nil"/>
          <w:bottom w:val="nil"/>
          <w:right w:val="nil"/>
          <w:between w:val="nil"/>
        </w:pBdr>
        <w:spacing w:before="0" w:after="0" w:line="240" w:lineRule="auto"/>
        <w:jc w:val="left"/>
        <w:rPr>
          <w:color w:val="000000"/>
          <w:sz w:val="20"/>
          <w:szCs w:val="20"/>
        </w:rPr>
      </w:pPr>
      <w:r w:rsidRPr="009E6B1B">
        <w:rPr>
          <w:color w:val="000000"/>
          <w:sz w:val="20"/>
          <w:szCs w:val="20"/>
        </w:rPr>
        <w:t>Kas järeldused on vastavuses püstitatud uurimisküsimustega (ülesannete ja hüpoteesidega)?</w:t>
      </w:r>
    </w:p>
    <w:p w:rsidR="00662811" w:rsidRPr="009E6B1B" w:rsidRDefault="00662811" w:rsidP="00662811">
      <w:pPr>
        <w:numPr>
          <w:ilvl w:val="0"/>
          <w:numId w:val="2"/>
        </w:numPr>
        <w:pBdr>
          <w:top w:val="nil"/>
          <w:left w:val="nil"/>
          <w:bottom w:val="nil"/>
          <w:right w:val="nil"/>
          <w:between w:val="nil"/>
        </w:pBdr>
        <w:spacing w:before="0" w:after="0" w:line="240" w:lineRule="auto"/>
        <w:jc w:val="left"/>
        <w:rPr>
          <w:color w:val="000000"/>
          <w:sz w:val="20"/>
          <w:szCs w:val="20"/>
        </w:rPr>
      </w:pPr>
      <w:r w:rsidRPr="009E6B1B">
        <w:rPr>
          <w:color w:val="000000"/>
          <w:sz w:val="20"/>
          <w:szCs w:val="20"/>
        </w:rPr>
        <w:t>Kas rakendusliku (arendus)töö tulemusi on praktikas katsetatud?</w:t>
      </w:r>
    </w:p>
    <w:p w:rsidR="00662811" w:rsidRPr="00662811" w:rsidRDefault="00662811" w:rsidP="00662811">
      <w:pPr>
        <w:pBdr>
          <w:top w:val="nil"/>
          <w:left w:val="nil"/>
          <w:bottom w:val="nil"/>
          <w:right w:val="nil"/>
          <w:between w:val="nil"/>
        </w:pBdr>
        <w:rPr>
          <w:color w:val="000000"/>
          <w:sz w:val="16"/>
          <w:szCs w:val="16"/>
        </w:rPr>
      </w:pPr>
    </w:p>
    <w:p w:rsidR="00662811" w:rsidRPr="009E6B1B" w:rsidRDefault="00662811" w:rsidP="00662811">
      <w:pPr>
        <w:rPr>
          <w:b/>
          <w:sz w:val="20"/>
          <w:szCs w:val="20"/>
        </w:rPr>
      </w:pPr>
      <w:r w:rsidRPr="009E6B1B">
        <w:rPr>
          <w:b/>
          <w:sz w:val="20"/>
          <w:szCs w:val="20"/>
        </w:rPr>
        <w:t>Teema valdamine</w:t>
      </w:r>
    </w:p>
    <w:p w:rsidR="00662811" w:rsidRPr="00662811" w:rsidRDefault="00662811" w:rsidP="00662811">
      <w:pPr>
        <w:numPr>
          <w:ilvl w:val="0"/>
          <w:numId w:val="2"/>
        </w:numPr>
        <w:pBdr>
          <w:top w:val="nil"/>
          <w:left w:val="nil"/>
          <w:bottom w:val="nil"/>
          <w:right w:val="nil"/>
          <w:between w:val="nil"/>
        </w:pBdr>
        <w:spacing w:before="0" w:after="0" w:line="240" w:lineRule="auto"/>
        <w:jc w:val="left"/>
        <w:rPr>
          <w:color w:val="000000"/>
          <w:sz w:val="20"/>
          <w:szCs w:val="20"/>
        </w:rPr>
      </w:pPr>
      <w:r w:rsidRPr="009E6B1B">
        <w:rPr>
          <w:color w:val="000000"/>
          <w:sz w:val="20"/>
          <w:szCs w:val="20"/>
        </w:rPr>
        <w:t>Kas  käsitletava teema teoreetilist tausta ning teiste autorite uuringuid on käsitletud asjakohaselt?</w:t>
      </w:r>
    </w:p>
    <w:p w:rsidR="00662811" w:rsidRPr="009E6B1B" w:rsidRDefault="00662811" w:rsidP="00662811">
      <w:pPr>
        <w:numPr>
          <w:ilvl w:val="0"/>
          <w:numId w:val="2"/>
        </w:numPr>
        <w:pBdr>
          <w:top w:val="nil"/>
          <w:left w:val="nil"/>
          <w:bottom w:val="nil"/>
          <w:right w:val="nil"/>
          <w:between w:val="nil"/>
        </w:pBdr>
        <w:spacing w:before="0" w:after="0" w:line="240" w:lineRule="auto"/>
        <w:jc w:val="left"/>
        <w:rPr>
          <w:color w:val="000000"/>
          <w:sz w:val="20"/>
          <w:szCs w:val="20"/>
        </w:rPr>
      </w:pPr>
      <w:r w:rsidRPr="009E6B1B">
        <w:rPr>
          <w:color w:val="000000"/>
          <w:sz w:val="20"/>
          <w:szCs w:val="20"/>
        </w:rPr>
        <w:t>Kas valitud uurimismetoodika on sobiv, selgelt kirjeldatud ning asjatundlikult kasutatud?</w:t>
      </w:r>
    </w:p>
    <w:p w:rsidR="00662811" w:rsidRPr="00662811" w:rsidRDefault="00662811" w:rsidP="00662811">
      <w:pPr>
        <w:rPr>
          <w:sz w:val="16"/>
          <w:szCs w:val="16"/>
        </w:rPr>
      </w:pPr>
    </w:p>
    <w:p w:rsidR="00662811" w:rsidRPr="00662811" w:rsidRDefault="00662811" w:rsidP="00662811">
      <w:pPr>
        <w:numPr>
          <w:ilvl w:val="0"/>
          <w:numId w:val="3"/>
        </w:numPr>
        <w:spacing w:before="0" w:after="0" w:line="240" w:lineRule="auto"/>
        <w:jc w:val="left"/>
        <w:rPr>
          <w:sz w:val="20"/>
          <w:szCs w:val="20"/>
        </w:rPr>
      </w:pPr>
      <w:r w:rsidRPr="009E6B1B">
        <w:rPr>
          <w:sz w:val="20"/>
          <w:szCs w:val="20"/>
        </w:rPr>
        <w:t>Kas tulemused on esitatud selgelt ja üheselt mõistetavalt?</w:t>
      </w:r>
    </w:p>
    <w:p w:rsidR="00662811" w:rsidRPr="009E6B1B" w:rsidRDefault="00662811" w:rsidP="00662811">
      <w:pPr>
        <w:numPr>
          <w:ilvl w:val="0"/>
          <w:numId w:val="3"/>
        </w:numPr>
        <w:pBdr>
          <w:top w:val="nil"/>
          <w:left w:val="nil"/>
          <w:bottom w:val="nil"/>
          <w:right w:val="nil"/>
          <w:between w:val="nil"/>
        </w:pBdr>
        <w:spacing w:before="0" w:after="0" w:line="240" w:lineRule="auto"/>
        <w:jc w:val="left"/>
        <w:rPr>
          <w:color w:val="000000"/>
          <w:sz w:val="20"/>
          <w:szCs w:val="20"/>
        </w:rPr>
      </w:pPr>
      <w:r w:rsidRPr="009E6B1B">
        <w:rPr>
          <w:color w:val="000000"/>
          <w:sz w:val="20"/>
          <w:szCs w:val="20"/>
        </w:rPr>
        <w:t>Kas arutelu, järeldused ja soovitused (sõltuvalt töö suunitlusest) on küllaldaselt põhjendatud (faktiline alus, arutluskäigu loogilisus, kooskõla teiste uuringutega jms)?</w:t>
      </w:r>
    </w:p>
    <w:p w:rsidR="00662811" w:rsidRPr="00662811" w:rsidRDefault="00662811" w:rsidP="00662811">
      <w:pPr>
        <w:rPr>
          <w:sz w:val="16"/>
          <w:szCs w:val="16"/>
        </w:rPr>
      </w:pPr>
    </w:p>
    <w:p w:rsidR="00662811" w:rsidRPr="009E6B1B" w:rsidRDefault="00662811" w:rsidP="00662811">
      <w:pPr>
        <w:pBdr>
          <w:top w:val="nil"/>
          <w:left w:val="nil"/>
          <w:bottom w:val="nil"/>
          <w:right w:val="nil"/>
          <w:between w:val="nil"/>
        </w:pBdr>
        <w:rPr>
          <w:b/>
          <w:color w:val="000000"/>
          <w:sz w:val="20"/>
          <w:szCs w:val="20"/>
        </w:rPr>
      </w:pPr>
      <w:r w:rsidRPr="009E6B1B">
        <w:rPr>
          <w:b/>
          <w:color w:val="000000"/>
          <w:sz w:val="20"/>
          <w:szCs w:val="20"/>
        </w:rPr>
        <w:t>Vormistamine</w:t>
      </w:r>
    </w:p>
    <w:p w:rsidR="00662811" w:rsidRPr="00662811" w:rsidRDefault="00662811" w:rsidP="00662811">
      <w:pPr>
        <w:numPr>
          <w:ilvl w:val="0"/>
          <w:numId w:val="2"/>
        </w:numPr>
        <w:pBdr>
          <w:top w:val="nil"/>
          <w:left w:val="nil"/>
          <w:bottom w:val="nil"/>
          <w:right w:val="nil"/>
          <w:between w:val="nil"/>
        </w:pBdr>
        <w:spacing w:before="0" w:after="0" w:line="240" w:lineRule="auto"/>
        <w:jc w:val="left"/>
        <w:rPr>
          <w:color w:val="000000"/>
          <w:sz w:val="20"/>
          <w:szCs w:val="20"/>
        </w:rPr>
      </w:pPr>
      <w:r w:rsidRPr="009E6B1B">
        <w:rPr>
          <w:color w:val="000000"/>
          <w:sz w:val="20"/>
          <w:szCs w:val="20"/>
        </w:rPr>
        <w:t>Kas töö ülesehitus on loogiline ja esitusviis otstarbekas (nt  osade järjekord, sidusus, mahud, jooniste ja tabelite kasutamine)?</w:t>
      </w:r>
    </w:p>
    <w:p w:rsidR="00662811" w:rsidRPr="00662811" w:rsidRDefault="00662811" w:rsidP="00662811">
      <w:pPr>
        <w:numPr>
          <w:ilvl w:val="0"/>
          <w:numId w:val="2"/>
        </w:numPr>
        <w:pBdr>
          <w:top w:val="nil"/>
          <w:left w:val="nil"/>
          <w:bottom w:val="nil"/>
          <w:right w:val="nil"/>
          <w:between w:val="nil"/>
        </w:pBdr>
        <w:spacing w:before="0" w:after="0" w:line="240" w:lineRule="auto"/>
        <w:jc w:val="left"/>
        <w:rPr>
          <w:color w:val="000000"/>
          <w:sz w:val="20"/>
          <w:szCs w:val="20"/>
        </w:rPr>
      </w:pPr>
      <w:r w:rsidRPr="009E6B1B">
        <w:rPr>
          <w:color w:val="000000"/>
          <w:sz w:val="20"/>
          <w:szCs w:val="20"/>
        </w:rPr>
        <w:t>Kas töö on kooskõlas lõputööde juhendis esitatud nõuetega (mh. vormistus, viitamine, keeleline korrektsus)?</w:t>
      </w:r>
    </w:p>
    <w:p w:rsidR="00662811" w:rsidRPr="009E6B1B" w:rsidRDefault="00662811" w:rsidP="00FC79CF">
      <w:pPr>
        <w:pBdr>
          <w:top w:val="nil"/>
          <w:left w:val="nil"/>
          <w:bottom w:val="nil"/>
          <w:right w:val="nil"/>
          <w:between w:val="nil"/>
        </w:pBdr>
        <w:rPr>
          <w:b/>
          <w:color w:val="000000"/>
          <w:sz w:val="20"/>
          <w:szCs w:val="20"/>
        </w:rPr>
      </w:pPr>
      <w:proofErr w:type="spellStart"/>
      <w:r w:rsidRPr="009E6B1B">
        <w:rPr>
          <w:b/>
          <w:color w:val="000000"/>
          <w:sz w:val="20"/>
          <w:szCs w:val="20"/>
        </w:rPr>
        <w:t>Üldhinnang</w:t>
      </w:r>
      <w:proofErr w:type="spellEnd"/>
    </w:p>
    <w:p w:rsidR="00662811" w:rsidRPr="00662811" w:rsidRDefault="00662811" w:rsidP="00662811">
      <w:pPr>
        <w:numPr>
          <w:ilvl w:val="0"/>
          <w:numId w:val="2"/>
        </w:numPr>
        <w:pBdr>
          <w:top w:val="nil"/>
          <w:left w:val="nil"/>
          <w:bottom w:val="nil"/>
          <w:right w:val="nil"/>
          <w:between w:val="nil"/>
        </w:pBdr>
        <w:spacing w:before="0" w:after="0" w:line="240" w:lineRule="auto"/>
        <w:jc w:val="left"/>
        <w:rPr>
          <w:color w:val="000000"/>
          <w:sz w:val="20"/>
          <w:szCs w:val="20"/>
        </w:rPr>
      </w:pPr>
      <w:r w:rsidRPr="009E6B1B">
        <w:rPr>
          <w:color w:val="000000"/>
          <w:sz w:val="20"/>
          <w:szCs w:val="20"/>
        </w:rPr>
        <w:t>Kas esitatud töö tulemustes on näha autori panust määral, mis vastab bakalaureusetöö/magistritöö sisule ja mahule (</w:t>
      </w:r>
      <w:r w:rsidRPr="009E6B1B">
        <w:rPr>
          <w:i/>
          <w:color w:val="000000"/>
          <w:sz w:val="20"/>
          <w:szCs w:val="20"/>
        </w:rPr>
        <w:t>1 EAP = 26 tundi tööd</w:t>
      </w:r>
      <w:r w:rsidRPr="009E6B1B">
        <w:rPr>
          <w:color w:val="000000"/>
          <w:sz w:val="20"/>
          <w:szCs w:val="20"/>
        </w:rPr>
        <w:t xml:space="preserve">)? </w:t>
      </w:r>
    </w:p>
    <w:p w:rsidR="00662811" w:rsidRPr="009E6B1B" w:rsidRDefault="00662811" w:rsidP="00662811">
      <w:pPr>
        <w:numPr>
          <w:ilvl w:val="0"/>
          <w:numId w:val="2"/>
        </w:numPr>
        <w:pBdr>
          <w:top w:val="nil"/>
          <w:left w:val="nil"/>
          <w:bottom w:val="nil"/>
          <w:right w:val="nil"/>
          <w:between w:val="nil"/>
        </w:pBdr>
        <w:spacing w:before="0" w:after="0" w:line="240" w:lineRule="auto"/>
        <w:jc w:val="left"/>
        <w:rPr>
          <w:color w:val="000000"/>
          <w:sz w:val="20"/>
          <w:szCs w:val="20"/>
        </w:rPr>
      </w:pPr>
      <w:r w:rsidRPr="009E6B1B">
        <w:rPr>
          <w:color w:val="000000"/>
          <w:sz w:val="20"/>
          <w:szCs w:val="20"/>
        </w:rPr>
        <w:t>Kas töös on muid esiletoomist väärivaid positiivseid omadusi, küsitavusi või puuduseid, millele soovitakse tähelepanu juhtida?</w:t>
      </w:r>
    </w:p>
    <w:p w:rsidR="00662811" w:rsidRPr="00662811" w:rsidRDefault="00662811" w:rsidP="00662811">
      <w:pPr>
        <w:pBdr>
          <w:top w:val="nil"/>
          <w:left w:val="nil"/>
          <w:bottom w:val="nil"/>
          <w:right w:val="nil"/>
          <w:between w:val="nil"/>
        </w:pBdr>
        <w:ind w:hanging="720"/>
        <w:rPr>
          <w:color w:val="000000"/>
          <w:sz w:val="16"/>
          <w:szCs w:val="16"/>
        </w:rPr>
      </w:pPr>
    </w:p>
    <w:p w:rsidR="00662811" w:rsidRPr="009E6B1B" w:rsidRDefault="00662811" w:rsidP="00FC79CF">
      <w:pPr>
        <w:pBdr>
          <w:top w:val="nil"/>
          <w:left w:val="nil"/>
          <w:bottom w:val="nil"/>
          <w:right w:val="nil"/>
          <w:between w:val="nil"/>
        </w:pBdr>
        <w:rPr>
          <w:color w:val="000000"/>
          <w:sz w:val="20"/>
          <w:szCs w:val="20"/>
        </w:rPr>
      </w:pPr>
      <w:r w:rsidRPr="009E6B1B">
        <w:rPr>
          <w:color w:val="000000"/>
          <w:sz w:val="20"/>
          <w:szCs w:val="20"/>
        </w:rPr>
        <w:t>Lõpetuseks anda eelmiste punktide põhjal tööle kokkuvõttev hinnang, kuid ei tohi välja pakkuda soovituslikku hinnet. Töö struktuuri (nt peatükkide arv, jooniste arv jms) ei ole vaja retsensioonis kajastada.</w:t>
      </w:r>
    </w:p>
    <w:p w:rsidR="00662811" w:rsidRPr="009E6B1B" w:rsidRDefault="00662811" w:rsidP="00662811">
      <w:pPr>
        <w:rPr>
          <w:sz w:val="20"/>
          <w:szCs w:val="20"/>
        </w:rPr>
      </w:pPr>
      <w:r w:rsidRPr="009E6B1B">
        <w:rPr>
          <w:sz w:val="20"/>
          <w:szCs w:val="20"/>
        </w:rPr>
        <w:t xml:space="preserve">Retsensioonis palume esitada kaitsjale küsimused, millele oodatakse vastust kaitsmise käigus. </w:t>
      </w:r>
    </w:p>
    <w:p w:rsidR="00662811" w:rsidRPr="00662811" w:rsidRDefault="00662811" w:rsidP="00662811">
      <w:pPr>
        <w:rPr>
          <w:sz w:val="20"/>
          <w:szCs w:val="20"/>
        </w:rPr>
      </w:pPr>
      <w:r w:rsidRPr="009E6B1B">
        <w:rPr>
          <w:sz w:val="20"/>
          <w:szCs w:val="20"/>
        </w:rPr>
        <w:t>Vabas vormis kirjutatud retsensiooni soovitav pikkus on kuni kaks lehekülge.</w:t>
      </w:r>
      <w:r w:rsidR="00FC79CF">
        <w:rPr>
          <w:sz w:val="20"/>
          <w:szCs w:val="20"/>
        </w:rPr>
        <w:t xml:space="preserve"> </w:t>
      </w:r>
      <w:r w:rsidRPr="009E6B1B">
        <w:rPr>
          <w:sz w:val="20"/>
          <w:szCs w:val="20"/>
        </w:rPr>
        <w:t>Lisaks allkirjale palume retsensioonile lisada retsensendi akadeemilise kraadi, ametinimetuse, töökoha ning kuupäeva.</w:t>
      </w:r>
    </w:p>
    <w:sectPr w:rsidR="00662811" w:rsidRPr="00662811" w:rsidSect="00EA376B">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ED0B22"/>
    <w:multiLevelType w:val="multilevel"/>
    <w:tmpl w:val="A644081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0D173E3"/>
    <w:multiLevelType w:val="multilevel"/>
    <w:tmpl w:val="3D2043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5F1224F"/>
    <w:multiLevelType w:val="multilevel"/>
    <w:tmpl w:val="89FAC41E"/>
    <w:lvl w:ilvl="0">
      <w:start w:val="1"/>
      <w:numFmt w:val="decimal"/>
      <w:lvlText w:val="%1."/>
      <w:lvlJc w:val="left"/>
      <w:pPr>
        <w:ind w:left="720" w:hanging="360"/>
      </w:pPr>
    </w:lvl>
    <w:lvl w:ilvl="1">
      <w:start w:val="1"/>
      <w:numFmt w:val="decimal"/>
      <w:lvlText w:val="%1.%2."/>
      <w:lvlJc w:val="left"/>
      <w:pPr>
        <w:ind w:left="720" w:hanging="360"/>
      </w:pPr>
      <w:rPr>
        <w:i w:val="0"/>
      </w:rPr>
    </w:lvl>
    <w:lvl w:ilvl="2">
      <w:start w:val="1"/>
      <w:numFmt w:val="decimal"/>
      <w:lvlText w:val="%1.%2.%3."/>
      <w:lvlJc w:val="left"/>
      <w:pPr>
        <w:ind w:left="1080" w:hanging="720"/>
      </w:pPr>
      <w:rPr>
        <w:i/>
      </w:rPr>
    </w:lvl>
    <w:lvl w:ilvl="3">
      <w:start w:val="1"/>
      <w:numFmt w:val="decimal"/>
      <w:lvlText w:val="%1.%2.%3.%4."/>
      <w:lvlJc w:val="left"/>
      <w:pPr>
        <w:ind w:left="1080" w:hanging="720"/>
      </w:pPr>
      <w:rPr>
        <w:i w:val="0"/>
      </w:rPr>
    </w:lvl>
    <w:lvl w:ilvl="4">
      <w:start w:val="1"/>
      <w:numFmt w:val="decimal"/>
      <w:lvlText w:val="%1.%2.%3.%4.%5."/>
      <w:lvlJc w:val="left"/>
      <w:pPr>
        <w:ind w:left="1440" w:hanging="1080"/>
      </w:pPr>
      <w:rPr>
        <w:i w:val="0"/>
      </w:rPr>
    </w:lvl>
    <w:lvl w:ilvl="5">
      <w:start w:val="1"/>
      <w:numFmt w:val="decimal"/>
      <w:lvlText w:val="%1.%2.%3.%4.%5.%6."/>
      <w:lvlJc w:val="left"/>
      <w:pPr>
        <w:ind w:left="1440" w:hanging="1080"/>
      </w:pPr>
      <w:rPr>
        <w:i w:val="0"/>
      </w:rPr>
    </w:lvl>
    <w:lvl w:ilvl="6">
      <w:start w:val="1"/>
      <w:numFmt w:val="decimal"/>
      <w:lvlText w:val="%1.%2.%3.%4.%5.%6.%7."/>
      <w:lvlJc w:val="left"/>
      <w:pPr>
        <w:ind w:left="1800" w:hanging="1440"/>
      </w:pPr>
      <w:rPr>
        <w:i w:val="0"/>
      </w:rPr>
    </w:lvl>
    <w:lvl w:ilvl="7">
      <w:start w:val="1"/>
      <w:numFmt w:val="decimal"/>
      <w:lvlText w:val="%1.%2.%3.%4.%5.%6.%7.%8."/>
      <w:lvlJc w:val="left"/>
      <w:pPr>
        <w:ind w:left="1800" w:hanging="1440"/>
      </w:pPr>
      <w:rPr>
        <w:i w:val="0"/>
      </w:rPr>
    </w:lvl>
    <w:lvl w:ilvl="8">
      <w:start w:val="1"/>
      <w:numFmt w:val="decimal"/>
      <w:lvlText w:val="%1.%2.%3.%4.%5.%6.%7.%8.%9."/>
      <w:lvlJc w:val="left"/>
      <w:pPr>
        <w:ind w:left="2160" w:hanging="1800"/>
      </w:pPr>
      <w:rPr>
        <w:i w:val="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811"/>
    <w:rsid w:val="0055780C"/>
    <w:rsid w:val="00662811"/>
    <w:rsid w:val="00B40E30"/>
    <w:rsid w:val="00EA376B"/>
    <w:rsid w:val="00FC7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12EF0"/>
  <w15:chartTrackingRefBased/>
  <w15:docId w15:val="{B947F1BD-CAC0-4C5E-9647-AC72CE8D1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2811"/>
    <w:pPr>
      <w:spacing w:before="120" w:after="120" w:line="360" w:lineRule="auto"/>
      <w:jc w:val="both"/>
    </w:pPr>
    <w:rPr>
      <w:rFonts w:ascii="Times New Roman" w:eastAsia="Times New Roman" w:hAnsi="Times New Roman" w:cs="Times New Roman"/>
      <w:sz w:val="24"/>
      <w:szCs w:val="24"/>
      <w:lang w:val="et-EE" w:eastAsia="et-EE"/>
    </w:rPr>
  </w:style>
  <w:style w:type="paragraph" w:styleId="Heading1">
    <w:name w:val="heading 1"/>
    <w:basedOn w:val="Normal"/>
    <w:next w:val="Normal"/>
    <w:link w:val="Heading1Char"/>
    <w:uiPriority w:val="9"/>
    <w:qFormat/>
    <w:rsid w:val="00662811"/>
    <w:pPr>
      <w:keepNext/>
      <w:spacing w:before="360" w:after="24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811"/>
    <w:rPr>
      <w:rFonts w:ascii="Times New Roman" w:eastAsia="Times New Roman" w:hAnsi="Times New Roman" w:cs="Times New Roman"/>
      <w:b/>
      <w:sz w:val="24"/>
      <w:szCs w:val="24"/>
      <w:lang w:val="et-EE" w:eastAsia="et-EE"/>
    </w:rPr>
  </w:style>
  <w:style w:type="character" w:styleId="Hyperlink">
    <w:name w:val="Hyperlink"/>
    <w:basedOn w:val="DefaultParagraphFont"/>
    <w:uiPriority w:val="99"/>
    <w:unhideWhenUsed/>
    <w:rsid w:val="00FC79CF"/>
    <w:rPr>
      <w:color w:val="0563C1" w:themeColor="hyperlink"/>
      <w:u w:val="single"/>
    </w:rPr>
  </w:style>
  <w:style w:type="character" w:styleId="UnresolvedMention">
    <w:name w:val="Unresolved Mention"/>
    <w:basedOn w:val="DefaultParagraphFont"/>
    <w:uiPriority w:val="99"/>
    <w:semiHidden/>
    <w:unhideWhenUsed/>
    <w:rsid w:val="00FC79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lu.ee/lti/opingud/dokumendid-esitluspohjad-ja-juhend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616</Words>
  <Characters>3573</Characters>
  <Application>Microsoft Office Word</Application>
  <DocSecurity>0</DocSecurity>
  <Lines>29</Lines>
  <Paragraphs>8</Paragraphs>
  <ScaleCrop>false</ScaleCrop>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Sirje Vaask</dc:creator>
  <cp:keywords/>
  <dc:description/>
  <cp:lastModifiedBy>Sirje Vaask</cp:lastModifiedBy>
  <cp:revision>3</cp:revision>
  <dcterms:created xsi:type="dcterms:W3CDTF">2024-11-20T21:53:00Z</dcterms:created>
  <dcterms:modified xsi:type="dcterms:W3CDTF">2024-11-20T22:11:00Z</dcterms:modified>
</cp:coreProperties>
</file>