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43CC" w:rsidRPr="00B2220D" w:rsidRDefault="006277EB">
      <w:pPr>
        <w:jc w:val="center"/>
        <w:rPr>
          <w:noProof/>
        </w:rPr>
      </w:pPr>
      <w:bookmarkStart w:id="0" w:name="_GoBack"/>
      <w:bookmarkEnd w:id="0"/>
      <w:r w:rsidRPr="00B2220D">
        <w:rPr>
          <w:b/>
          <w:noProof/>
          <w:sz w:val="40"/>
          <w:szCs w:val="40"/>
        </w:rPr>
        <w:t>TALLINNA ÜLIKOOL</w:t>
      </w:r>
    </w:p>
    <w:tbl>
      <w:tblPr>
        <w:tblStyle w:val="a"/>
        <w:tblW w:w="917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6"/>
        <w:gridCol w:w="2613"/>
        <w:gridCol w:w="40"/>
        <w:gridCol w:w="40"/>
      </w:tblGrid>
      <w:tr w:rsidR="004E43CC" w:rsidRPr="00B2220D" w:rsidTr="00B2220D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 xml:space="preserve">Põhiüksus: 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Humanitaarteaduste instituut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</w:tr>
      <w:tr w:rsidR="004E43CC" w:rsidRPr="00B2220D" w:rsidTr="00B2220D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Kõrvaleriala nimetus eesti keeles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b/>
                <w:noProof/>
              </w:rPr>
              <w:t>KULTUURITEADUS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8360C2" w:rsidRPr="00B2220D" w:rsidTr="00B2220D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0C2" w:rsidRPr="00B2220D" w:rsidRDefault="008360C2">
            <w:pPr>
              <w:rPr>
                <w:noProof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C2" w:rsidRPr="00B2220D" w:rsidRDefault="008360C2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09.03.2016</w:t>
            </w:r>
          </w:p>
        </w:tc>
      </w:tr>
      <w:tr w:rsidR="008360C2" w:rsidRPr="00B2220D" w:rsidTr="00B2220D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0C2" w:rsidRPr="00B2220D" w:rsidRDefault="008360C2" w:rsidP="00B2220D">
            <w:pPr>
              <w:pStyle w:val="Pealkiri1"/>
              <w:rPr>
                <w:noProof/>
              </w:rPr>
            </w:pPr>
            <w:r w:rsidRPr="00B2220D">
              <w:rPr>
                <w:noProof/>
              </w:rPr>
              <w:t>Kõrvaleriala nimetus inglise keeles</w:t>
            </w:r>
          </w:p>
          <w:p w:rsidR="008360C2" w:rsidRPr="00B2220D" w:rsidRDefault="008360C2" w:rsidP="00B2220D">
            <w:pPr>
              <w:pStyle w:val="Pealkiri1"/>
              <w:rPr>
                <w:noProof/>
              </w:rPr>
            </w:pPr>
            <w:r w:rsidRPr="00B2220D">
              <w:rPr>
                <w:b/>
                <w:noProof/>
              </w:rPr>
              <w:t>CULTURAL THEORY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C2" w:rsidRPr="00B2220D" w:rsidRDefault="008360C2">
            <w:pPr>
              <w:jc w:val="center"/>
              <w:rPr>
                <w:noProof/>
              </w:rPr>
            </w:pPr>
            <w:r w:rsidRPr="00B2220D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4E43CC" w:rsidRPr="00B2220D" w:rsidTr="00B2220D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</w:tr>
      <w:tr w:rsidR="004E43CC" w:rsidRPr="00B2220D" w:rsidTr="00B2220D">
        <w:trPr>
          <w:gridAfter w:val="2"/>
          <w:wAfter w:w="80" w:type="dxa"/>
        </w:trPr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Maht ainepunktides: 48 EAP</w:t>
            </w:r>
          </w:p>
        </w:tc>
      </w:tr>
      <w:tr w:rsidR="004E43CC" w:rsidRPr="00B2220D" w:rsidTr="00B2220D"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Vastuvõtutingimused: kava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40" w:type="dxa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B2220D"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40" w:type="dxa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B2220D"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Õppetöö korralduse lühikirjeldus. Kõrvaleriala kuulaja võtab kahe õppeaasta jooksul osa kõrvaleriala õppetööst.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Lõpetamise tingimused: õppekava läbimine.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Kõrvaleriala on osa kultuuriteaduse bakalaureuseõppekavast.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40" w:type="dxa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B2220D">
        <w:tc>
          <w:tcPr>
            <w:tcW w:w="9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tabs>
                <w:tab w:val="center" w:pos="4395"/>
              </w:tabs>
              <w:rPr>
                <w:noProof/>
              </w:rPr>
            </w:pPr>
            <w:r w:rsidRPr="00B2220D">
              <w:rPr>
                <w:noProof/>
              </w:rPr>
              <w:t>Õppekava kuraator, kontaktandmed: Marek Tamm, marek.tamm@tlu.ee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40" w:type="dxa"/>
          </w:tcPr>
          <w:p w:rsidR="004E43CC" w:rsidRPr="00B2220D" w:rsidRDefault="004E43CC">
            <w:pPr>
              <w:rPr>
                <w:noProof/>
              </w:rPr>
            </w:pPr>
          </w:p>
        </w:tc>
      </w:tr>
    </w:tbl>
    <w:p w:rsidR="004E43CC" w:rsidRPr="00B2220D" w:rsidRDefault="004E43CC">
      <w:pPr>
        <w:rPr>
          <w:noProof/>
        </w:rPr>
      </w:pPr>
    </w:p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"/>
        <w:gridCol w:w="1612"/>
        <w:gridCol w:w="5107"/>
        <w:gridCol w:w="710"/>
        <w:gridCol w:w="1547"/>
        <w:gridCol w:w="25"/>
        <w:gridCol w:w="10"/>
        <w:gridCol w:w="37"/>
        <w:gridCol w:w="33"/>
      </w:tblGrid>
      <w:tr w:rsidR="004E43CC" w:rsidRPr="00B2220D" w:rsidTr="00B2220D">
        <w:tc>
          <w:tcPr>
            <w:tcW w:w="25" w:type="dxa"/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9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Eesmärk: Luua võimalused alusteadmiste omandamiseks kultuuri uurivate distsipliinide olulisematest suundadest ja meetoditest. Luua eeldused teadmiste kujunemiseks olulisemates kultuurianalüüsi valdkondades. Luua eeldused praktiliste oskuste kujunemiseks erinevate kultuuriliste nähtuste analüüsiks.</w:t>
            </w:r>
          </w:p>
        </w:tc>
        <w:tc>
          <w:tcPr>
            <w:tcW w:w="42" w:type="dxa"/>
            <w:gridSpan w:val="2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33" w:type="dxa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B2220D"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9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 xml:space="preserve">Õpiväljundid: 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-alusteadmised kultuuriteaduste olulisematest teoreetilistest distsipliinidest sissejuhataval tasemel;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oskus orienteeruda tänapäeva kultuuriteooria peamistes valdkondades ja metodoloogiates;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kultuuriajaloo, kultuuriteooria, semiootika ja populaarkultuuri uuringute peamiste meetodite, olulisemate teoste ja koolkondade tundmine;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oskus kriitiliselt analüüsida lähedasi ja kaugeid kultuurikeskkondi;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oskus analüüsida kirjanduslikke tekste;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oskus analüüsida visuaalseid kultuuritekste;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 oskus analüüsida religioosseid protsesse ja nähtusi.</w:t>
            </w:r>
          </w:p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-</w:t>
            </w:r>
          </w:p>
        </w:tc>
        <w:tc>
          <w:tcPr>
            <w:tcW w:w="42" w:type="dxa"/>
            <w:gridSpan w:val="2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33" w:type="dxa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B2220D">
        <w:trPr>
          <w:gridAfter w:val="1"/>
          <w:wAfter w:w="33" w:type="dxa"/>
          <w:trHeight w:val="280"/>
        </w:trPr>
        <w:tc>
          <w:tcPr>
            <w:tcW w:w="900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32" w:type="dxa"/>
          </w:tcPr>
          <w:p w:rsidR="004E43CC" w:rsidRPr="00B2220D" w:rsidRDefault="004E43CC">
            <w:pPr>
              <w:rPr>
                <w:noProof/>
              </w:rPr>
            </w:pPr>
          </w:p>
        </w:tc>
      </w:tr>
      <w:tr w:rsidR="004E43CC" w:rsidRPr="00B2220D" w:rsidTr="00B2220D">
        <w:trPr>
          <w:gridAfter w:val="1"/>
          <w:wAfter w:w="33" w:type="dxa"/>
        </w:trPr>
        <w:tc>
          <w:tcPr>
            <w:tcW w:w="25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b/>
                <w:noProof/>
              </w:rPr>
              <w:t>Ainekood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spacing w:before="120"/>
              <w:jc w:val="center"/>
              <w:rPr>
                <w:noProof/>
              </w:rPr>
            </w:pPr>
            <w:r w:rsidRPr="00B2220D">
              <w:rPr>
                <w:b/>
                <w:noProof/>
              </w:rPr>
              <w:t>Õppeaine nimetus</w:t>
            </w:r>
          </w:p>
          <w:p w:rsidR="004E43CC" w:rsidRPr="00B2220D" w:rsidRDefault="004E43CC">
            <w:pPr>
              <w:spacing w:before="120"/>
              <w:rPr>
                <w:noProof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E43CC" w:rsidRPr="00B2220D" w:rsidRDefault="004E43CC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spacing w:before="120"/>
              <w:jc w:val="center"/>
              <w:rPr>
                <w:noProof/>
              </w:rPr>
            </w:pPr>
            <w:r w:rsidRPr="00B2220D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4E43CC" w:rsidRPr="00B2220D" w:rsidTr="0013496B">
        <w:trPr>
          <w:gridAfter w:val="1"/>
          <w:wAfter w:w="33" w:type="dxa"/>
        </w:trPr>
        <w:tc>
          <w:tcPr>
            <w:tcW w:w="20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HIK6331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Kultuuriteooria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13496B">
        <w:trPr>
          <w:gridAfter w:val="1"/>
          <w:wAfter w:w="33" w:type="dxa"/>
        </w:trPr>
        <w:tc>
          <w:tcPr>
            <w:tcW w:w="20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HIK6332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Semiootika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13496B">
        <w:trPr>
          <w:gridAfter w:val="1"/>
          <w:wAfter w:w="33" w:type="dxa"/>
        </w:trPr>
        <w:tc>
          <w:tcPr>
            <w:tcW w:w="20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HIK6333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Kultuuriajalugu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13496B">
        <w:trPr>
          <w:gridAfter w:val="1"/>
          <w:wAfter w:w="33" w:type="dxa"/>
          <w:trHeight w:val="260"/>
        </w:trPr>
        <w:tc>
          <w:tcPr>
            <w:tcW w:w="20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HIK6334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Populaarkultuuri teooriad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13496B">
        <w:trPr>
          <w:gridAfter w:val="1"/>
          <w:wAfter w:w="33" w:type="dxa"/>
        </w:trPr>
        <w:tc>
          <w:tcPr>
            <w:tcW w:w="20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HIK6341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Kultuurikeskkonna analüüs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13496B">
        <w:trPr>
          <w:gridAfter w:val="1"/>
          <w:wAfter w:w="33" w:type="dxa"/>
        </w:trPr>
        <w:tc>
          <w:tcPr>
            <w:tcW w:w="20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HIK6342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Tekstianalüüs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13496B">
        <w:trPr>
          <w:gridAfter w:val="1"/>
          <w:wAfter w:w="33" w:type="dxa"/>
        </w:trPr>
        <w:tc>
          <w:tcPr>
            <w:tcW w:w="20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HIK6343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Filmi, draama või visuaalkultuuri analüüs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  <w:tr w:rsidR="004E43CC" w:rsidRPr="00B2220D" w:rsidTr="0013496B">
        <w:trPr>
          <w:gridAfter w:val="1"/>
          <w:wAfter w:w="33" w:type="dxa"/>
        </w:trPr>
        <w:tc>
          <w:tcPr>
            <w:tcW w:w="20" w:type="dxa"/>
          </w:tcPr>
          <w:p w:rsidR="004E43CC" w:rsidRPr="00B2220D" w:rsidRDefault="004E43CC">
            <w:pPr>
              <w:rPr>
                <w:noProof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HIK6345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CC" w:rsidRPr="00B2220D" w:rsidRDefault="006277EB">
            <w:pPr>
              <w:rPr>
                <w:noProof/>
              </w:rPr>
            </w:pPr>
            <w:r w:rsidRPr="00B2220D">
              <w:rPr>
                <w:noProof/>
              </w:rPr>
              <w:t>Religioossete protsesside analüüs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4E43CC" w:rsidRPr="00B2220D" w:rsidRDefault="004E43CC">
            <w:pPr>
              <w:jc w:val="center"/>
              <w:rPr>
                <w:noProof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CC" w:rsidRPr="00B2220D" w:rsidRDefault="006277EB">
            <w:pPr>
              <w:jc w:val="center"/>
              <w:rPr>
                <w:noProof/>
              </w:rPr>
            </w:pPr>
            <w:r w:rsidRPr="00B2220D">
              <w:rPr>
                <w:noProof/>
              </w:rPr>
              <w:t>6</w:t>
            </w:r>
          </w:p>
        </w:tc>
      </w:tr>
    </w:tbl>
    <w:p w:rsidR="004E43CC" w:rsidRPr="00B2220D" w:rsidRDefault="004E43CC">
      <w:pPr>
        <w:rPr>
          <w:noProof/>
        </w:rPr>
      </w:pPr>
    </w:p>
    <w:p w:rsidR="004E43CC" w:rsidRPr="00B2220D" w:rsidRDefault="006277EB">
      <w:pPr>
        <w:rPr>
          <w:noProof/>
        </w:rPr>
      </w:pPr>
      <w:r w:rsidRPr="00B2220D">
        <w:rPr>
          <w:b/>
          <w:noProof/>
        </w:rPr>
        <w:t xml:space="preserve"> </w:t>
      </w:r>
    </w:p>
    <w:sectPr w:rsidR="004E43CC" w:rsidRPr="00B2220D">
      <w:pgSz w:w="11906" w:h="16838"/>
      <w:pgMar w:top="1701" w:right="1701" w:bottom="1701" w:left="19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364C0"/>
    <w:multiLevelType w:val="multilevel"/>
    <w:tmpl w:val="E502FE5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CC"/>
    <w:rsid w:val="000B40B1"/>
    <w:rsid w:val="0013496B"/>
    <w:rsid w:val="004A0470"/>
    <w:rsid w:val="004E43CC"/>
    <w:rsid w:val="006277EB"/>
    <w:rsid w:val="006717B6"/>
    <w:rsid w:val="0069515A"/>
    <w:rsid w:val="007931DA"/>
    <w:rsid w:val="008360C2"/>
    <w:rsid w:val="00961EE2"/>
    <w:rsid w:val="00B2220D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EEE2B-F016-4357-BE2C-453B9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ind w:left="576" w:hanging="576"/>
      <w:outlineLvl w:val="1"/>
    </w:p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ind w:firstLine="360"/>
      <w:outlineLvl w:val="3"/>
    </w:p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  <w:style w:type="table" w:customStyle="1" w:styleId="a5">
    <w:basedOn w:val="Normaaltabel"/>
    <w:tblPr>
      <w:tblStyleRowBandSize w:val="1"/>
      <w:tblStyleColBandSize w:val="1"/>
    </w:tblPr>
  </w:style>
  <w:style w:type="table" w:customStyle="1" w:styleId="a6">
    <w:basedOn w:val="Normaaltabel"/>
    <w:tblPr>
      <w:tblStyleRowBandSize w:val="1"/>
      <w:tblStyleColBandSize w:val="1"/>
    </w:tblPr>
  </w:style>
  <w:style w:type="table" w:customStyle="1" w:styleId="a7">
    <w:basedOn w:val="Normaaltabel"/>
    <w:tblPr>
      <w:tblStyleRowBandSize w:val="1"/>
      <w:tblStyleColBandSize w:val="1"/>
    </w:tblPr>
  </w:style>
  <w:style w:type="table" w:customStyle="1" w:styleId="a8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Rene Kaas</cp:lastModifiedBy>
  <cp:revision>2</cp:revision>
  <dcterms:created xsi:type="dcterms:W3CDTF">2021-04-20T12:29:00Z</dcterms:created>
  <dcterms:modified xsi:type="dcterms:W3CDTF">2021-04-20T12:29:00Z</dcterms:modified>
</cp:coreProperties>
</file>