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02" w:rsidRPr="00027CE3" w:rsidRDefault="00923C02" w:rsidP="00923C02">
      <w:pPr>
        <w:rPr>
          <w:noProof/>
        </w:rPr>
      </w:pPr>
      <w:bookmarkStart w:id="0" w:name="_GoBack"/>
      <w:bookmarkEnd w:id="0"/>
    </w:p>
    <w:p w:rsidR="00923C02" w:rsidRPr="00027CE3" w:rsidRDefault="00923C02" w:rsidP="00923C02">
      <w:pPr>
        <w:jc w:val="center"/>
        <w:rPr>
          <w:b/>
          <w:noProof/>
        </w:rPr>
      </w:pPr>
      <w:r w:rsidRPr="00027CE3">
        <w:rPr>
          <w:rFonts w:ascii="Times New Roman" w:eastAsia="Times New Roman" w:hAnsi="Times New Roman" w:cs="Times New Roman"/>
          <w:b/>
          <w:noProof/>
          <w:sz w:val="24"/>
          <w:szCs w:val="24"/>
        </w:rPr>
        <w:t>TALLINNA ÜLIKOOL</w:t>
      </w:r>
    </w:p>
    <w:p w:rsidR="00923C02" w:rsidRPr="00027CE3" w:rsidRDefault="00923C02" w:rsidP="00923C02">
      <w:pPr>
        <w:spacing w:after="0" w:line="240" w:lineRule="auto"/>
        <w:jc w:val="center"/>
        <w:rPr>
          <w:noProof/>
        </w:rPr>
      </w:pPr>
    </w:p>
    <w:tbl>
      <w:tblPr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Põhiüksus: </w:t>
            </w:r>
          </w:p>
          <w:p w:rsidR="00923C02" w:rsidRPr="00027CE3" w:rsidRDefault="00923C02" w:rsidP="00C908BB">
            <w:pPr>
              <w:spacing w:after="0" w:line="240" w:lineRule="auto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923C02" w:rsidRPr="00027CE3" w:rsidRDefault="00923C02" w:rsidP="00C908BB">
            <w:pPr>
              <w:spacing w:after="0" w:line="240" w:lineRule="auto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PRANTSUSE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5D67E9" w:rsidP="00C908B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color w:val="auto"/>
              </w:rPr>
              <w:t>03.12.2019</w:t>
            </w: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923C02" w:rsidRPr="00027CE3" w:rsidRDefault="00923C02" w:rsidP="00C908BB">
            <w:pPr>
              <w:pStyle w:val="Pealkiri1"/>
              <w:rPr>
                <w:b/>
                <w:noProof/>
              </w:rPr>
            </w:pPr>
            <w:r w:rsidRPr="00027CE3">
              <w:rPr>
                <w:b/>
                <w:noProof/>
              </w:rPr>
              <w:t>FRENCH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7CE3">
              <w:rPr>
                <w:rFonts w:ascii="Times New Roman" w:hAnsi="Times New Roman" w:cs="Times New Roman"/>
                <w:noProof/>
                <w:sz w:val="24"/>
                <w:szCs w:val="24"/>
              </w:rPr>
              <w:t>(kinnitatud humanitaarteaduste instituudi nõukogus)</w:t>
            </w: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Maht ainepunktides: 48 EAP</w:t>
            </w:r>
          </w:p>
        </w:tc>
      </w:tr>
      <w:tr w:rsidR="00923C02" w:rsidRPr="00027CE3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6472CE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859B7" w:rsidRPr="00D859B7" w:rsidRDefault="00923C02" w:rsidP="00D859B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kuulaja võtab kahe õppeaasta jooksul osa kõrvaleriala õppetööst.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Üliõpilane liitub keeleõppega endale sobival keeletasemel ja läbib neli ning lõpetab kas keeletasemel </w:t>
            </w:r>
            <w:r w:rsidR="00D859B7" w:rsidRPr="00D85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B1.2, B2.2 või C1.2.</w:t>
            </w:r>
          </w:p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 tingimused: õppekava läbimine. Õpetajakoolituse magistriõppes lisandub aine GRA7311 Võõrkeele didaktika I (6 EAP), kõrvaleriala pedagoogiline praktika läbitakse põhieriala pedagoogilise praktika ainete käigus.</w:t>
            </w:r>
          </w:p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6472CE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Õppekava kuraator, kontaktandmed: Kaia Sisask, kaia.sisask@tlu.ee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</w:tbl>
    <w:p w:rsidR="00923C02" w:rsidRPr="006472CE" w:rsidRDefault="00923C02" w:rsidP="00923C02">
      <w:pPr>
        <w:spacing w:after="0" w:line="240" w:lineRule="auto"/>
        <w:rPr>
          <w:noProof/>
        </w:rPr>
      </w:pPr>
    </w:p>
    <w:tbl>
      <w:tblPr>
        <w:tblW w:w="922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1519"/>
        <w:gridCol w:w="4782"/>
        <w:gridCol w:w="678"/>
        <w:gridCol w:w="1432"/>
        <w:gridCol w:w="236"/>
        <w:gridCol w:w="236"/>
        <w:gridCol w:w="110"/>
      </w:tblGrid>
      <w:tr w:rsidR="00923C02" w:rsidRPr="00027CE3" w:rsidTr="009467AA">
        <w:tc>
          <w:tcPr>
            <w:tcW w:w="236" w:type="dxa"/>
          </w:tcPr>
          <w:p w:rsidR="00923C02" w:rsidRPr="006472CE" w:rsidRDefault="00923C02" w:rsidP="00C908BB">
            <w:pPr>
              <w:widowControl w:val="0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Eesmärk:  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Luua eeldused prantsuse ühiskonna ja kultuuri arengudünaamika mõistmiseks;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luua võimalused prantsuse kultuuri ja ühiskonnaga seotud probleemide määratlemiseks, kriitiliseks analüüsiks ja iseseisvaks uurimiseks.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toetada prantsuse keele omandamist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B1.2-tasemel;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luua eeldused prantsuse keele õpetamiseks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A2-tasemel.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9467AA">
        <w:tc>
          <w:tcPr>
            <w:tcW w:w="236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Õpiväljundid: 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läbinud üliõpilane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omab süsteemset ülevaadet prantsuse ühiskonna ja kultuuri arengudünaamikast;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on teadlik prantsuse ühiskonna ja kultuuriga seotud aktuaalsetest küsimustest ja omab teoreetilisi ning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metodoloogilisi vahendeid nende iseseisvaks uurimiseks;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on omandanud prantsuse keele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B1.2-tasemel;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on omandanud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pärast didaktika ja praktika aine läbimist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õiguse õpetada prantsuse keelt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A2-tasemel.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9467AA">
        <w:trPr>
          <w:gridAfter w:val="1"/>
          <w:wAfter w:w="110" w:type="dxa"/>
          <w:trHeight w:val="280"/>
        </w:trPr>
        <w:tc>
          <w:tcPr>
            <w:tcW w:w="864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</w:tcPr>
          <w:p w:rsidR="00923C02" w:rsidRPr="00027CE3" w:rsidRDefault="00923C02" w:rsidP="00C908BB">
            <w:pPr>
              <w:rPr>
                <w:b/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jc w:val="center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A8511B">
            <w:pPr>
              <w:spacing w:before="120"/>
              <w:jc w:val="center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Õppeaine nimetus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923C02" w:rsidRPr="00027CE3" w:rsidRDefault="00923C02" w:rsidP="00C908BB">
            <w:pPr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before="120"/>
              <w:jc w:val="center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EAP</w:t>
            </w:r>
          </w:p>
        </w:tc>
      </w:tr>
      <w:tr w:rsidR="005939E8" w:rsidRPr="005939E8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rPr>
                <w:b/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93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Valikaineid, valida 24 EAP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jc w:val="center"/>
              <w:rPr>
                <w:b/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LCF6311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 keel A1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LCF6312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keel A2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 keel B1.1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 keel B1.2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keel B2.1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keel B2.2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LCF6331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keel C1.1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LCF6332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keel C1.2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93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Kohustuslikud ained 24 EAP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Prantsusmaa ajalugu, ühiskond ja kultuur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925E0F" w:rsidRDefault="00925E0F" w:rsidP="00C908B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E0F">
              <w:rPr>
                <w:rFonts w:ascii="Times New Roman" w:hAnsi="Times New Roman" w:cs="Times New Roman"/>
                <w:noProof/>
                <w:sz w:val="24"/>
                <w:szCs w:val="24"/>
              </w:rPr>
              <w:t>Tänapäeva Prantsusmaa kujunemine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kirjanduse suured raamatud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filmikunst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</w:tbl>
    <w:p w:rsidR="00923C02" w:rsidRPr="00027CE3" w:rsidRDefault="00923C02" w:rsidP="00923C02">
      <w:pPr>
        <w:jc w:val="center"/>
        <w:rPr>
          <w:noProof/>
        </w:rPr>
      </w:pPr>
      <w:bookmarkStart w:id="1" w:name="h.42h0yw381hxh" w:colFirst="0" w:colLast="0"/>
      <w:bookmarkEnd w:id="1"/>
    </w:p>
    <w:p w:rsidR="00ED6F19" w:rsidRPr="00027CE3" w:rsidRDefault="00ED6F19">
      <w:pPr>
        <w:rPr>
          <w:noProof/>
        </w:rPr>
      </w:pPr>
    </w:p>
    <w:sectPr w:rsidR="00ED6F19" w:rsidRPr="0002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02"/>
    <w:rsid w:val="00027CE3"/>
    <w:rsid w:val="000C7775"/>
    <w:rsid w:val="00454A83"/>
    <w:rsid w:val="005939E8"/>
    <w:rsid w:val="005D67E9"/>
    <w:rsid w:val="006472CE"/>
    <w:rsid w:val="007861DD"/>
    <w:rsid w:val="00923C02"/>
    <w:rsid w:val="00925E0F"/>
    <w:rsid w:val="009467AA"/>
    <w:rsid w:val="00A165E7"/>
    <w:rsid w:val="00A8511B"/>
    <w:rsid w:val="00D859B7"/>
    <w:rsid w:val="00DD372D"/>
    <w:rsid w:val="00E81C76"/>
    <w:rsid w:val="00ED6F19"/>
    <w:rsid w:val="00F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953E-34F1-4608-AA91-DA7CD06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923C02"/>
    <w:pPr>
      <w:spacing w:after="200" w:line="276" w:lineRule="auto"/>
    </w:pPr>
    <w:rPr>
      <w:rFonts w:ascii="Calibri" w:eastAsia="Calibri" w:hAnsi="Calibri" w:cs="Calibri"/>
      <w:color w:val="000000"/>
      <w:sz w:val="22"/>
      <w:lang w:eastAsia="et-EE"/>
    </w:rPr>
  </w:style>
  <w:style w:type="paragraph" w:styleId="Pealkiri1">
    <w:name w:val="heading 1"/>
    <w:basedOn w:val="Normaallaad"/>
    <w:next w:val="Normaallaad"/>
    <w:link w:val="Pealkiri1Mrk"/>
    <w:rsid w:val="00923C02"/>
    <w:pPr>
      <w:keepNext/>
      <w:keepLines/>
      <w:widowControl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23C02"/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Rene Kaas</cp:lastModifiedBy>
  <cp:revision>2</cp:revision>
  <dcterms:created xsi:type="dcterms:W3CDTF">2020-04-27T12:21:00Z</dcterms:created>
  <dcterms:modified xsi:type="dcterms:W3CDTF">2020-04-27T12:21:00Z</dcterms:modified>
</cp:coreProperties>
</file>