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D9" w:rsidRDefault="005012C7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Antropoloogia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fr-FR"/>
        </w:rPr>
        <w:t xml:space="preserve"> bakalaureuseeksam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  <w:lang w:val="sv-SE"/>
        </w:rPr>
        <w:t xml:space="preserve">Eksam jaguneb 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kaheks osaeksamiks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(bakalaueruseksami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mahuga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hemalt 6000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na ilma kasutatud kirjanduse nimekirja ja lisadeta (5EAP), iseseisev lugemine ja vestlus eksamikomisjoniga (1EAP)), millega kontrollitakse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pilase erinevaid erialaseid teadmisi ja oskusi, mis omandati kogu bakalaureuse stuudiumi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ltel erinevates ainete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 nii teoreetiliselt kui praktiliste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lesannete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igus. Eksamiga kontrollitakse nende osaoskuste olemasolu ja nende kasutamise praktilist oskust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pilase stuudiumi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petamise eel, et tagada n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utav miinimumtase eriala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petanud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it-IT"/>
        </w:rPr>
        <w:t>pilaste seas.</w:t>
      </w:r>
    </w:p>
    <w:p w:rsidR="002627D9" w:rsidRDefault="005012C7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Bakalaueruseksami uurimust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öö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Bakalaueruseksami uurimust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(mahuga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hemalt 6000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na ilma kasutatud kirjanduse nimekirja ja lisadeta) ettevalmistamine ja esialgse variandi kirjutamine algab kursusega "Kirjalik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", kus arendatakse k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iki iseseisva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uurimuse jaoks vajalikke teoreetilisi ja praktilisi oskuseid. Kirjaliku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igus tehtud kriitilised m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rkused ja soovitused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esialgses variandis muudatuste tegemiseks (sisu, keel, vormistus) on aluseks uurimuse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plikul vormistamisel bakalaureuseeksami jaoks. 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Eksamikomisjon annab oma hinnangu uurimusele kahes jaos: esiteks uurimuse kui sellise vastavus bakalaureuse tasemele nii oma sisult kui vormilt ja teiseks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es-ES_tradnl"/>
        </w:rPr>
        <w:t>pilase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imekus kriitikat vastu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tta ning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vastavalt saadud kriitikale oma uurimust iseseisvalt parandada ja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iendada.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ursuse kirjaliku uurimust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protsessi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etakse arvesse bakalaureuseeksami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pphinde moodustamisel.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>Uurimust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</w:rPr>
        <w:t xml:space="preserve">öö </w:t>
      </w:r>
      <w:r>
        <w:rPr>
          <w:rFonts w:ascii="Arial" w:hAnsi="Arial"/>
          <w:b/>
          <w:bCs/>
          <w:color w:val="3C4445"/>
          <w:sz w:val="32"/>
          <w:szCs w:val="32"/>
          <w:shd w:val="clear" w:color="auto" w:fill="FFFFFF"/>
          <w:lang w:val="de-DE"/>
        </w:rPr>
        <w:t>kaitsmine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on avalik ning kestab kuni 30 minutit. Kairsmise osad on: Bakalaureuseuurimist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st teeb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pilane eksamikomisjonile slaidiesitluse (10 minutit), millega hinnatakse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es-ES_tradnl"/>
        </w:rPr>
        <w:t>pilase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imekust oma uurimust ja selle olulisi tulemeid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hidalt ja arusaadavalt kokku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tta ja esitleda. Retsensent annab oma arvustuse, tagasiside ning esitab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simused, millele j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rgenb tudengi kaitsek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ne ning vastused retsensendi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simustele (kuni 15 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fr-FR"/>
        </w:rPr>
        <w:lastRenderedPageBreak/>
        <w:t>minutit). Kaitsmise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pteab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simused eksamikomisjonilt ning publikult (5 minutit). 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>Kontrollitavate osaoskuste hulka kuuluvad oskus esitluse slaide vormistada ja uurimusest olulist infot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tuua,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 ajalimiidist kinni pidada, kasutada akadeemilist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ljendusviisi ning valmidust vastata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simustele ja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tta arvesse esitatud kriitikat.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 Esitlusele j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rgnevad eksamikomisjoni liikmete esitatud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psustavad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simused ja nendele vastamine.</w:t>
      </w:r>
    </w:p>
    <w:p w:rsidR="002627D9" w:rsidRDefault="005012C7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Suuline eksam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</w:rPr>
        <w:t>Suuline eksam h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lmab eksamikomisjoni koostatud erialase kirjanduse iseseisvat 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vendatud lugemist ja loetu p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hjal komisjoni 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simustele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vastamist. Iseseisva lekt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ri maht on u. 100lk s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nl-NL"/>
        </w:rPr>
        <w:t>ltuvalt tekstide keerukusastmest. Tekstid valib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eksamikomisjon ja need tehakse teatavaks hiljemalt vahen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dala 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it-IT"/>
        </w:rPr>
        <w:t xml:space="preserve">ppu. </w:t>
      </w:r>
    </w:p>
    <w:p w:rsidR="002627D9" w:rsidRDefault="005012C7">
      <w:pPr>
        <w:pStyle w:val="Default"/>
        <w:spacing w:before="0" w:after="40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hAnsi="Arial"/>
          <w:color w:val="3C4445"/>
          <w:sz w:val="32"/>
          <w:szCs w:val="32"/>
          <w:shd w:val="clear" w:color="auto" w:fill="FFFFFF"/>
          <w:lang w:val="da-DK"/>
        </w:rPr>
        <w:t>Eksamil t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 xml:space="preserve">mbab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li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pilane eksamipileti mida hakatakse eksamikomisjoniga arutlema.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Suuline eksam kestab kuni 15 minutit ning on kinnine. eksam toimub kaitsmisele eelneval p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eval.</w:t>
      </w:r>
    </w:p>
    <w:p w:rsidR="002627D9" w:rsidRDefault="005012C7">
      <w:pPr>
        <w:pStyle w:val="Default"/>
        <w:spacing w:before="0" w:after="400" w:line="240" w:lineRule="auto"/>
        <w:rPr>
          <w:rFonts w:ascii="Times New Roman" w:eastAsia="Times New Roman" w:hAnsi="Times New Roman" w:cs="Times New Roman"/>
          <w:i/>
          <w:iCs/>
          <w:color w:val="3C4445"/>
          <w:sz w:val="40"/>
          <w:szCs w:val="40"/>
          <w:shd w:val="clear" w:color="auto" w:fill="FFFFFF"/>
        </w:rPr>
      </w:pP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nl-NL"/>
        </w:rPr>
        <w:t xml:space="preserve">Eksami sooritanud 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ü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li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  <w:lang w:val="pt-PT"/>
        </w:rPr>
        <w:t>õ</w:t>
      </w:r>
      <w:r>
        <w:rPr>
          <w:rFonts w:ascii="Times New Roman" w:hAnsi="Times New Roman"/>
          <w:i/>
          <w:iCs/>
          <w:color w:val="3C4445"/>
          <w:sz w:val="40"/>
          <w:szCs w:val="40"/>
          <w:shd w:val="clear" w:color="auto" w:fill="FFFFFF"/>
        </w:rPr>
        <w:t>pilane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iseseisvalt kavandada ja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bi viia akadeemilist uurimist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(esitada relevantset uurimisk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 xml:space="preserve">simust, valida sobiliku meetodi,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leida adekvaatne uurimismaterjal, koostada uurimuse struktuur, viidata ja refereerida allikaid, moodustada allikakirjeid);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  <w:lang w:val="da-DK"/>
        </w:rPr>
        <w:tab/>
        <w:t>oskab vormistada teadust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vastavalt TL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 kehtivatele reeglitele;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 xml:space="preserve">saab aru esitatud kriitikast ning oskab sellele vastavalt </w:t>
      </w: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>reageerida nii kirjalikult (viies uurimuses sisse parandusi) kui suuliselt (vastates konstruktiivselt kriitikale);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oma uurimusest 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hidalt v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ä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lja tuua peamise ning on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imeline etteantud ajalimiidi jooksul oma t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öö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d esitlema;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lastRenderedPageBreak/>
        <w:tab/>
        <w:t xml:space="preserve">oskab vormistada </w:t>
      </w: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>esitluse slaide ning esineda hea akadeemilise tava kohaselt;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oskab oma uurimist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de-DE"/>
        </w:rPr>
        <w:t>öö 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le arutleda ja oma seisukohti kaitsta;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  <w:lang w:val="da-DK"/>
        </w:rPr>
        <w:tab/>
        <w:t>oskab iseseisvalt lugeda ja anal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sida erialast kirjandust;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 xml:space="preserve">oskab kriitiliselt arutleda loetud erialase kirjanduse 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le;</w:t>
      </w:r>
    </w:p>
    <w:p w:rsidR="002627D9" w:rsidRDefault="005012C7">
      <w:pPr>
        <w:pStyle w:val="Default"/>
        <w:numPr>
          <w:ilvl w:val="0"/>
          <w:numId w:val="2"/>
        </w:numPr>
        <w:spacing w:before="0" w:line="240" w:lineRule="auto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  <w:tab/>
        <w:t>on v</w:t>
      </w:r>
      <w:r>
        <w:rPr>
          <w:rFonts w:ascii="Arial" w:hAnsi="Arial"/>
          <w:color w:val="3C4445"/>
          <w:sz w:val="32"/>
          <w:szCs w:val="32"/>
          <w:shd w:val="clear" w:color="auto" w:fill="FFFFFF"/>
          <w:lang w:val="pt-PT"/>
        </w:rPr>
        <w:t>õ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imeline erinevates ainetes omandatud teadmisi anal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sima ja s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ü</w:t>
      </w:r>
      <w:r>
        <w:rPr>
          <w:rFonts w:ascii="Arial" w:hAnsi="Arial"/>
          <w:color w:val="3C4445"/>
          <w:sz w:val="32"/>
          <w:szCs w:val="32"/>
          <w:shd w:val="clear" w:color="auto" w:fill="FFFFFF"/>
        </w:rPr>
        <w:t>nteesima.</w:t>
      </w:r>
    </w:p>
    <w:p w:rsidR="002627D9" w:rsidRDefault="002627D9"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Arial" w:eastAsia="Arial" w:hAnsi="Arial" w:cs="Arial"/>
          <w:color w:val="3C4445"/>
          <w:sz w:val="32"/>
          <w:szCs w:val="32"/>
          <w:shd w:val="clear" w:color="auto" w:fill="FFFFFF"/>
        </w:rPr>
      </w:pPr>
    </w:p>
    <w:p w:rsidR="002627D9" w:rsidRDefault="002627D9">
      <w:pPr>
        <w:pStyle w:val="Default"/>
        <w:spacing w:before="0" w:after="400" w:line="240" w:lineRule="auto"/>
      </w:pPr>
    </w:p>
    <w:sectPr w:rsidR="002627D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C7" w:rsidRDefault="005012C7">
      <w:r>
        <w:separator/>
      </w:r>
    </w:p>
  </w:endnote>
  <w:endnote w:type="continuationSeparator" w:id="0">
    <w:p w:rsidR="005012C7" w:rsidRDefault="0050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D9" w:rsidRDefault="002627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C7" w:rsidRDefault="005012C7">
      <w:r>
        <w:separator/>
      </w:r>
    </w:p>
  </w:footnote>
  <w:footnote w:type="continuationSeparator" w:id="0">
    <w:p w:rsidR="005012C7" w:rsidRDefault="0050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D9" w:rsidRDefault="002627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776"/>
    <w:multiLevelType w:val="hybridMultilevel"/>
    <w:tmpl w:val="008677DA"/>
    <w:styleLink w:val="Bullet"/>
    <w:lvl w:ilvl="0" w:tplc="5658070A">
      <w:start w:val="1"/>
      <w:numFmt w:val="bullet"/>
      <w:lvlText w:val="•"/>
      <w:lvlJc w:val="left"/>
      <w:pPr>
        <w:tabs>
          <w:tab w:val="num" w:pos="1417"/>
        </w:tabs>
        <w:ind w:left="1701" w:hanging="17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0"/>
        <w:highlight w:val="none"/>
        <w:vertAlign w:val="baseline"/>
      </w:rPr>
    </w:lvl>
    <w:lvl w:ilvl="1" w:tplc="4DF87860">
      <w:start w:val="1"/>
      <w:numFmt w:val="bullet"/>
      <w:lvlText w:val="•"/>
      <w:lvlJc w:val="left"/>
      <w:pPr>
        <w:tabs>
          <w:tab w:val="num" w:pos="940"/>
        </w:tabs>
        <w:ind w:left="122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2" w:tplc="66B473B8">
      <w:start w:val="1"/>
      <w:numFmt w:val="bullet"/>
      <w:lvlText w:val="•"/>
      <w:lvlJc w:val="left"/>
      <w:pPr>
        <w:tabs>
          <w:tab w:val="num" w:pos="1160"/>
        </w:tabs>
        <w:ind w:left="144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3" w:tplc="E4308EB6">
      <w:start w:val="1"/>
      <w:numFmt w:val="bullet"/>
      <w:lvlText w:val="•"/>
      <w:lvlJc w:val="left"/>
      <w:pPr>
        <w:tabs>
          <w:tab w:val="num" w:pos="1380"/>
        </w:tabs>
        <w:ind w:left="166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4" w:tplc="822A26AA">
      <w:start w:val="1"/>
      <w:numFmt w:val="bullet"/>
      <w:lvlText w:val="•"/>
      <w:lvlJc w:val="left"/>
      <w:pPr>
        <w:tabs>
          <w:tab w:val="num" w:pos="1600"/>
        </w:tabs>
        <w:ind w:left="188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5" w:tplc="8A4AC82A">
      <w:start w:val="1"/>
      <w:numFmt w:val="bullet"/>
      <w:lvlText w:val="•"/>
      <w:lvlJc w:val="left"/>
      <w:pPr>
        <w:tabs>
          <w:tab w:val="num" w:pos="1820"/>
        </w:tabs>
        <w:ind w:left="210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6" w:tplc="79C4BF6C">
      <w:start w:val="1"/>
      <w:numFmt w:val="bullet"/>
      <w:lvlText w:val="•"/>
      <w:lvlJc w:val="left"/>
      <w:pPr>
        <w:tabs>
          <w:tab w:val="num" w:pos="2040"/>
        </w:tabs>
        <w:ind w:left="232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7" w:tplc="4C9A0A20">
      <w:start w:val="1"/>
      <w:numFmt w:val="bullet"/>
      <w:lvlText w:val="•"/>
      <w:lvlJc w:val="left"/>
      <w:pPr>
        <w:tabs>
          <w:tab w:val="num" w:pos="2260"/>
        </w:tabs>
        <w:ind w:left="254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  <w:lvl w:ilvl="8" w:tplc="D976240A">
      <w:start w:val="1"/>
      <w:numFmt w:val="bullet"/>
      <w:lvlText w:val="•"/>
      <w:lvlJc w:val="left"/>
      <w:pPr>
        <w:tabs>
          <w:tab w:val="num" w:pos="2480"/>
        </w:tabs>
        <w:ind w:left="276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4445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174276C"/>
    <w:multiLevelType w:val="hybridMultilevel"/>
    <w:tmpl w:val="008677DA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9"/>
    <w:rsid w:val="002627D9"/>
    <w:rsid w:val="005012C7"/>
    <w:rsid w:val="00E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2E128-E03A-4209-A995-2D183E0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Irull</dc:creator>
  <cp:lastModifiedBy>Merit Tupits</cp:lastModifiedBy>
  <cp:revision>2</cp:revision>
  <dcterms:created xsi:type="dcterms:W3CDTF">2023-02-22T13:00:00Z</dcterms:created>
  <dcterms:modified xsi:type="dcterms:W3CDTF">2023-02-22T13:00:00Z</dcterms:modified>
</cp:coreProperties>
</file>