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8E092" w14:textId="77777777" w:rsidR="007077BE" w:rsidRPr="00A245DA" w:rsidRDefault="00D8377C" w:rsidP="007077BE">
      <w:pPr>
        <w:pStyle w:val="NoSpacing"/>
        <w:jc w:val="center"/>
        <w:rPr>
          <w:rFonts w:ascii="Times New Roman" w:hAnsi="Times New Roman" w:cs="Times New Roman"/>
          <w:b/>
        </w:rPr>
      </w:pPr>
      <w:bookmarkStart w:id="0" w:name="_GoBack"/>
      <w:bookmarkEnd w:id="0"/>
      <w:r w:rsidRPr="00A245DA">
        <w:rPr>
          <w:rFonts w:ascii="Times New Roman" w:hAnsi="Times New Roman" w:cs="Times New Roman"/>
          <w:b/>
        </w:rPr>
        <w:t xml:space="preserve">Seletuskiri </w:t>
      </w:r>
      <w:r w:rsidR="007077BE" w:rsidRPr="00A245DA">
        <w:rPr>
          <w:rFonts w:ascii="Times New Roman" w:hAnsi="Times New Roman" w:cs="Times New Roman"/>
          <w:b/>
        </w:rPr>
        <w:t xml:space="preserve">haridus- ja teadusministri määruse </w:t>
      </w:r>
      <w:r w:rsidR="008F21F9" w:rsidRPr="00A245DA">
        <w:rPr>
          <w:rFonts w:ascii="Times New Roman" w:hAnsi="Times New Roman" w:cs="Times New Roman"/>
          <w:b/>
        </w:rPr>
        <w:t xml:space="preserve">„Institutsionaalne arendusprogramm teadus- ja arendusasutustele ja kõrgkoolidele“ </w:t>
      </w:r>
      <w:r w:rsidR="007077BE" w:rsidRPr="00A245DA">
        <w:rPr>
          <w:rFonts w:ascii="Times New Roman" w:hAnsi="Times New Roman" w:cs="Times New Roman"/>
          <w:b/>
        </w:rPr>
        <w:t>eelnõu juurde</w:t>
      </w:r>
    </w:p>
    <w:p w14:paraId="6658E093" w14:textId="77777777" w:rsidR="00D8377C" w:rsidRPr="00A245DA" w:rsidRDefault="00D8377C" w:rsidP="00D8377C">
      <w:pPr>
        <w:pStyle w:val="NoSpacing"/>
        <w:jc w:val="center"/>
        <w:rPr>
          <w:rFonts w:ascii="Times New Roman" w:hAnsi="Times New Roman" w:cs="Times New Roman"/>
          <w:b/>
        </w:rPr>
      </w:pPr>
    </w:p>
    <w:p w14:paraId="6658E094" w14:textId="77777777" w:rsidR="00D8377C" w:rsidRPr="00A245DA" w:rsidRDefault="00D8377C" w:rsidP="00D8377C">
      <w:pPr>
        <w:pStyle w:val="NoSpacing"/>
        <w:rPr>
          <w:rFonts w:ascii="Times New Roman" w:hAnsi="Times New Roman" w:cs="Times New Roman"/>
        </w:rPr>
      </w:pPr>
    </w:p>
    <w:p w14:paraId="6658E095" w14:textId="77777777" w:rsidR="00D8377C" w:rsidRPr="00A245DA" w:rsidRDefault="00D8377C" w:rsidP="00D8377C">
      <w:pPr>
        <w:pStyle w:val="NoSpacing"/>
        <w:rPr>
          <w:rFonts w:ascii="Times New Roman" w:hAnsi="Times New Roman" w:cs="Times New Roman"/>
        </w:rPr>
      </w:pPr>
    </w:p>
    <w:p w14:paraId="6658E096" w14:textId="77777777" w:rsidR="00D8377C" w:rsidRPr="00A245DA" w:rsidRDefault="00D8377C" w:rsidP="00D8377C">
      <w:pPr>
        <w:pStyle w:val="NoSpacing"/>
        <w:rPr>
          <w:rFonts w:ascii="Times New Roman" w:hAnsi="Times New Roman" w:cs="Times New Roman"/>
          <w:b/>
        </w:rPr>
      </w:pPr>
      <w:r w:rsidRPr="00A245DA">
        <w:rPr>
          <w:rFonts w:ascii="Times New Roman" w:hAnsi="Times New Roman" w:cs="Times New Roman"/>
          <w:b/>
        </w:rPr>
        <w:t xml:space="preserve">I SISSEJUHATUS </w:t>
      </w:r>
    </w:p>
    <w:p w14:paraId="6658E097" w14:textId="77777777" w:rsidR="00D8377C" w:rsidRPr="00A245DA" w:rsidRDefault="00D8377C" w:rsidP="00D8377C">
      <w:pPr>
        <w:pStyle w:val="NoSpacing"/>
        <w:rPr>
          <w:rFonts w:ascii="Times New Roman" w:hAnsi="Times New Roman" w:cs="Times New Roman"/>
        </w:rPr>
      </w:pPr>
    </w:p>
    <w:p w14:paraId="6658E098" w14:textId="5AF55E0D" w:rsidR="00B629C6" w:rsidRPr="00A245DA" w:rsidRDefault="00F30708" w:rsidP="00F30708">
      <w:pPr>
        <w:pStyle w:val="NoSpacing"/>
        <w:jc w:val="both"/>
        <w:rPr>
          <w:rFonts w:ascii="Times New Roman" w:hAnsi="Times New Roman" w:cs="Times New Roman"/>
        </w:rPr>
      </w:pPr>
      <w:r w:rsidRPr="00A245DA">
        <w:rPr>
          <w:rFonts w:ascii="Times New Roman" w:hAnsi="Times New Roman" w:cs="Times New Roman"/>
        </w:rPr>
        <w:t>Määrusega reguleeritakse „Ühtekuuluvuspoliitika fondide rakenduskava 2014−2020“  prioriteetse suuna „</w:t>
      </w:r>
      <w:bookmarkStart w:id="1" w:name="_Toc381831653"/>
      <w:r w:rsidRPr="00A245DA">
        <w:rPr>
          <w:rFonts w:ascii="Times New Roman" w:hAnsi="Times New Roman" w:cs="Times New Roman"/>
        </w:rPr>
        <w:t>Kasvuvõimeline ettevõtlus ja rahvusvaheliselt konkurentsivõimeline teadus- ja arendustegevus</w:t>
      </w:r>
      <w:bookmarkEnd w:id="1"/>
      <w:r w:rsidRPr="00A245DA">
        <w:rPr>
          <w:rFonts w:ascii="Times New Roman" w:hAnsi="Times New Roman" w:cs="Times New Roman"/>
        </w:rPr>
        <w:t xml:space="preserve">“ meetme „Eesti T&amp;A rahvusvahelise konkurentsivõime suurendamine ja osalemine üle-euroopalistes teadusalgatustes“ tegevuse “Institutsionaalne arendusprogramm teadus- ja arendusasutustele ja kõrgkoolidele“ </w:t>
      </w:r>
      <w:r w:rsidR="00FC7099" w:rsidRPr="00A245DA">
        <w:rPr>
          <w:rFonts w:ascii="Times New Roman" w:eastAsia="Times New Roman" w:hAnsi="Times New Roman" w:cs="Times New Roman"/>
          <w:lang w:eastAsia="et-EE"/>
        </w:rPr>
        <w:t xml:space="preserve">ehk Asutuste STRateegilise Arengu </w:t>
      </w:r>
      <w:r w:rsidR="0006577D" w:rsidRPr="00A245DA">
        <w:rPr>
          <w:rFonts w:ascii="Times New Roman" w:eastAsia="Times New Roman" w:hAnsi="Times New Roman" w:cs="Times New Roman"/>
          <w:lang w:eastAsia="et-EE"/>
        </w:rPr>
        <w:t xml:space="preserve">(edaspidi </w:t>
      </w:r>
      <w:r w:rsidR="0006577D" w:rsidRPr="00A245DA">
        <w:rPr>
          <w:rFonts w:ascii="Times New Roman" w:eastAsia="Times New Roman" w:hAnsi="Times New Roman" w:cs="Times New Roman"/>
          <w:i/>
          <w:lang w:eastAsia="et-EE"/>
        </w:rPr>
        <w:t>ASTRA</w:t>
      </w:r>
      <w:r w:rsidR="0006577D" w:rsidRPr="00A245DA">
        <w:rPr>
          <w:rFonts w:ascii="Times New Roman" w:eastAsia="Times New Roman" w:hAnsi="Times New Roman" w:cs="Times New Roman"/>
          <w:lang w:eastAsia="et-EE"/>
        </w:rPr>
        <w:t xml:space="preserve">) </w:t>
      </w:r>
      <w:r w:rsidR="00FC7099" w:rsidRPr="00A245DA">
        <w:rPr>
          <w:rFonts w:ascii="Times New Roman" w:eastAsia="Times New Roman" w:hAnsi="Times New Roman" w:cs="Times New Roman"/>
          <w:lang w:eastAsia="et-EE"/>
        </w:rPr>
        <w:t>toetuse andmise eesmärkide elluviimist</w:t>
      </w:r>
      <w:r w:rsidR="00FD669D" w:rsidRPr="00A245DA">
        <w:rPr>
          <w:rFonts w:ascii="Times New Roman" w:eastAsia="Times New Roman" w:hAnsi="Times New Roman" w:cs="Times New Roman"/>
          <w:lang w:eastAsia="et-EE"/>
        </w:rPr>
        <w:t xml:space="preserve"> ja tulemuste saavutamist</w:t>
      </w:r>
      <w:r w:rsidRPr="00A245DA">
        <w:rPr>
          <w:rFonts w:ascii="Times New Roman" w:hAnsi="Times New Roman" w:cs="Times New Roman"/>
        </w:rPr>
        <w:t>.</w:t>
      </w:r>
    </w:p>
    <w:p w14:paraId="6658E099" w14:textId="339AF9BC" w:rsidR="00F30708" w:rsidRPr="00A245DA" w:rsidRDefault="00F30708" w:rsidP="00F30708">
      <w:pPr>
        <w:pStyle w:val="NoSpacing"/>
        <w:jc w:val="both"/>
        <w:rPr>
          <w:rFonts w:ascii="Times New Roman" w:hAnsi="Times New Roman" w:cs="Times New Roman"/>
        </w:rPr>
      </w:pPr>
    </w:p>
    <w:p w14:paraId="6658E09A" w14:textId="2A861CEF" w:rsidR="00582187" w:rsidRPr="00A245DA" w:rsidRDefault="00582187" w:rsidP="00F30708">
      <w:pPr>
        <w:pStyle w:val="NoSpacing"/>
        <w:jc w:val="both"/>
        <w:rPr>
          <w:rFonts w:ascii="Times New Roman" w:hAnsi="Times New Roman" w:cs="Times New Roman"/>
        </w:rPr>
      </w:pPr>
      <w:r w:rsidRPr="00A245DA">
        <w:rPr>
          <w:rFonts w:ascii="Times New Roman" w:hAnsi="Times New Roman" w:cs="Times New Roman"/>
        </w:rPr>
        <w:t xml:space="preserve">Toetuse andmise tingimuste väljatöötamisel lähtuti EL tõukefondide perioodi 2007-2013 teadus- ja arendustegevuse ning kõrghariduse meetmete rakendamise vahehindamisel antud soovitustest. Vahehindamisel hinnati meetmete ja alameetmete arvukust rakendamise seisukohalt töömahukaks ja </w:t>
      </w:r>
      <w:r w:rsidR="00AA0703" w:rsidRPr="00A245DA">
        <w:rPr>
          <w:rFonts w:ascii="Times New Roman" w:hAnsi="Times New Roman" w:cs="Times New Roman"/>
        </w:rPr>
        <w:t xml:space="preserve"> ebatõhusaks, mitmetes meetmetes rangelt ette kirjutatud toetatavad tegevused piirasid meetme paindlikkust, projektipõhine taotlemine ei pruugi </w:t>
      </w:r>
      <w:r w:rsidR="00B10D95" w:rsidRPr="00A245DA">
        <w:rPr>
          <w:rFonts w:ascii="Times New Roman" w:hAnsi="Times New Roman" w:cs="Times New Roman"/>
        </w:rPr>
        <w:t>tagada riigi seisukohast kõige prioriteetsemate vajaduste rahuldamist.</w:t>
      </w:r>
      <w:r w:rsidR="00AA0703" w:rsidRPr="00A245DA">
        <w:rPr>
          <w:rFonts w:ascii="Times New Roman" w:hAnsi="Times New Roman" w:cs="Times New Roman"/>
        </w:rPr>
        <w:t xml:space="preserve"> Alternatiivina soovitati „rakendada tulemusjuhtimist ehk n-ö „osta“ taotlejatelt tulemust, jättes nende enda valida vahendid ja tegevused, mille abiga tulemuseni jõutakse.“</w:t>
      </w:r>
      <w:r w:rsidR="00B10D95" w:rsidRPr="00A245DA">
        <w:rPr>
          <w:rStyle w:val="FootnoteReference"/>
          <w:rFonts w:ascii="Times New Roman" w:hAnsi="Times New Roman" w:cs="Times New Roman"/>
        </w:rPr>
        <w:footnoteReference w:id="2"/>
      </w:r>
      <w:r w:rsidR="00B10D95" w:rsidRPr="00A245DA">
        <w:rPr>
          <w:rFonts w:ascii="Times New Roman" w:hAnsi="Times New Roman" w:cs="Times New Roman"/>
        </w:rPr>
        <w:t xml:space="preserve"> Nii ongi </w:t>
      </w:r>
      <w:r w:rsidR="00FC7099" w:rsidRPr="00A245DA">
        <w:rPr>
          <w:rFonts w:ascii="Times New Roman" w:hAnsi="Times New Roman" w:cs="Times New Roman"/>
        </w:rPr>
        <w:t xml:space="preserve">ASTRA toetuse </w:t>
      </w:r>
      <w:r w:rsidR="00A23023" w:rsidRPr="00A245DA">
        <w:rPr>
          <w:rFonts w:ascii="Times New Roman" w:hAnsi="Times New Roman" w:cs="Times New Roman"/>
        </w:rPr>
        <w:t>taotleja ülesandeks</w:t>
      </w:r>
      <w:r w:rsidR="00B10D95" w:rsidRPr="00A245DA">
        <w:rPr>
          <w:rFonts w:ascii="Times New Roman" w:hAnsi="Times New Roman" w:cs="Times New Roman"/>
        </w:rPr>
        <w:t xml:space="preserve"> määratle</w:t>
      </w:r>
      <w:r w:rsidR="00A23023" w:rsidRPr="00A245DA">
        <w:rPr>
          <w:rFonts w:ascii="Times New Roman" w:hAnsi="Times New Roman" w:cs="Times New Roman"/>
        </w:rPr>
        <w:t>da</w:t>
      </w:r>
      <w:r w:rsidR="00B10D95" w:rsidRPr="00A245DA">
        <w:rPr>
          <w:rFonts w:ascii="Times New Roman" w:hAnsi="Times New Roman" w:cs="Times New Roman"/>
        </w:rPr>
        <w:t xml:space="preserve"> asutuse </w:t>
      </w:r>
      <w:r w:rsidR="00A23023" w:rsidRPr="00A245DA">
        <w:rPr>
          <w:rFonts w:ascii="Times New Roman" w:hAnsi="Times New Roman" w:cs="Times New Roman"/>
        </w:rPr>
        <w:t>arengu kitsaskohad ja seada arengueesmärgid</w:t>
      </w:r>
      <w:r w:rsidR="00FC7099" w:rsidRPr="00A245DA">
        <w:rPr>
          <w:rFonts w:ascii="Times New Roman" w:hAnsi="Times New Roman" w:cs="Times New Roman"/>
        </w:rPr>
        <w:t>,</w:t>
      </w:r>
      <w:r w:rsidR="00B10D95" w:rsidRPr="00A245DA">
        <w:rPr>
          <w:rFonts w:ascii="Times New Roman" w:hAnsi="Times New Roman" w:cs="Times New Roman"/>
        </w:rPr>
        <w:t xml:space="preserve"> kasutades selleks </w:t>
      </w:r>
      <w:r w:rsidR="00FC7099" w:rsidRPr="00A245DA">
        <w:rPr>
          <w:rFonts w:ascii="Times New Roman" w:hAnsi="Times New Roman" w:cs="Times New Roman"/>
        </w:rPr>
        <w:t>ASTRA toetuse kasutamiseks</w:t>
      </w:r>
      <w:r w:rsidR="00B10D95" w:rsidRPr="00A245DA">
        <w:rPr>
          <w:rFonts w:ascii="Times New Roman" w:hAnsi="Times New Roman" w:cs="Times New Roman"/>
        </w:rPr>
        <w:t xml:space="preserve"> </w:t>
      </w:r>
      <w:r w:rsidR="00A23023" w:rsidRPr="00A245DA">
        <w:rPr>
          <w:rFonts w:ascii="Times New Roman" w:hAnsi="Times New Roman" w:cs="Times New Roman"/>
        </w:rPr>
        <w:t>võimal</w:t>
      </w:r>
      <w:r w:rsidR="00FC7099" w:rsidRPr="00A245DA">
        <w:rPr>
          <w:rFonts w:ascii="Times New Roman" w:hAnsi="Times New Roman" w:cs="Times New Roman"/>
        </w:rPr>
        <w:t>ikke</w:t>
      </w:r>
      <w:r w:rsidR="00B10D95" w:rsidRPr="00A245DA">
        <w:rPr>
          <w:rFonts w:ascii="Times New Roman" w:hAnsi="Times New Roman" w:cs="Times New Roman"/>
        </w:rPr>
        <w:t xml:space="preserve"> erinevaid tegevuste pakette ja võimalikult </w:t>
      </w:r>
      <w:r w:rsidR="00A23023" w:rsidRPr="00A245DA">
        <w:rPr>
          <w:rFonts w:ascii="Times New Roman" w:hAnsi="Times New Roman" w:cs="Times New Roman"/>
        </w:rPr>
        <w:t>avatud</w:t>
      </w:r>
      <w:r w:rsidR="00B10D95" w:rsidRPr="00A245DA">
        <w:rPr>
          <w:rFonts w:ascii="Times New Roman" w:hAnsi="Times New Roman" w:cs="Times New Roman"/>
        </w:rPr>
        <w:t xml:space="preserve"> abikõlblike kulude loetelu. </w:t>
      </w:r>
    </w:p>
    <w:p w14:paraId="39AF5207" w14:textId="77777777" w:rsidR="00CE4559" w:rsidRPr="00A245DA" w:rsidRDefault="00CE4559" w:rsidP="00F30708">
      <w:pPr>
        <w:pStyle w:val="NoSpacing"/>
        <w:jc w:val="both"/>
        <w:rPr>
          <w:rFonts w:ascii="Times New Roman" w:hAnsi="Times New Roman" w:cs="Times New Roman"/>
        </w:rPr>
      </w:pPr>
    </w:p>
    <w:p w14:paraId="0427214F" w14:textId="6384C423" w:rsidR="000531F7" w:rsidRPr="00A245DA" w:rsidRDefault="000531F7" w:rsidP="000531F7">
      <w:pPr>
        <w:pStyle w:val="NoSpacing"/>
        <w:jc w:val="both"/>
        <w:rPr>
          <w:rFonts w:ascii="Times New Roman" w:hAnsi="Times New Roman" w:cs="Times New Roman"/>
        </w:rPr>
      </w:pPr>
      <w:r w:rsidRPr="00A245DA">
        <w:rPr>
          <w:rFonts w:ascii="Times New Roman" w:hAnsi="Times New Roman" w:cs="Times New Roman"/>
        </w:rPr>
        <w:t xml:space="preserve">ASTRA toetuse andmise eesmärk on toetada teadus- ja arendusasutuste ja kõrgkoolide struktuursete muudatuste läbiviimist, asutuse vastutusvaldkondade arendamist ja keskendumist põhitegevusele ning selle kaudu panustada Eesti teadus- ja arendustegevuse ning innovatsiooni strateegia „Teadmistepõhine Eesti 2014-2020“ ja „Eesti elukestva õppe strateegia 2020“ kõrgharidusprogrammi eesmärkide täitmisse. Toetatavad projektid väljendavad asutuste terviklikke institutsionaalseid arendusplaane, sh elluviidavate tegevuste  seoseid kõrghariduse ja teaduse eesmärkide saavutamiseks ning seoseid infrastruktuuri arendamise ja teiste toetatavate tegevuste vahel. Projektid </w:t>
      </w:r>
      <w:r w:rsidR="00AE1B1B" w:rsidRPr="00A245DA">
        <w:rPr>
          <w:rFonts w:ascii="Times New Roman" w:hAnsi="Times New Roman" w:cs="Times New Roman"/>
        </w:rPr>
        <w:t>peavad olema</w:t>
      </w:r>
      <w:r w:rsidRPr="00A245DA">
        <w:rPr>
          <w:rFonts w:ascii="Times New Roman" w:hAnsi="Times New Roman" w:cs="Times New Roman"/>
        </w:rPr>
        <w:t xml:space="preserve"> seostatud riiklike ja asutuse arengukavade või strateegiatega ning suunatud arenguhüppele ja muudatuste läbiviimisele, mitte püsikulude rahastamisele. Tegemist on toetusega, mis on suunatud ajaliselt piiratud ja kindlate eesmärkidega tegevusele, mis ei vaja </w:t>
      </w:r>
      <w:r w:rsidR="00AE1B1B" w:rsidRPr="00A245DA">
        <w:rPr>
          <w:rFonts w:ascii="Times New Roman" w:hAnsi="Times New Roman" w:cs="Times New Roman"/>
        </w:rPr>
        <w:t xml:space="preserve">mahukat </w:t>
      </w:r>
      <w:r w:rsidRPr="00A245DA">
        <w:rPr>
          <w:rFonts w:ascii="Times New Roman" w:hAnsi="Times New Roman" w:cs="Times New Roman"/>
        </w:rPr>
        <w:t>väljumisstrateegiat. Muuhulgas arvestavad projektid läbiviidud teadus- ja arendustegevuse sihtevalveerimise, õppeasutuse institutsionaalse akrediteerimise ja õppekavagrupi kvaliteedi hindamise otsustes antud soovitustest, kus see on asjakohane</w:t>
      </w:r>
      <w:r w:rsidR="0039251C" w:rsidRPr="00A245DA">
        <w:rPr>
          <w:rFonts w:ascii="Times New Roman" w:hAnsi="Times New Roman" w:cs="Times New Roman"/>
        </w:rPr>
        <w:t>,</w:t>
      </w:r>
      <w:r w:rsidRPr="00A245DA">
        <w:rPr>
          <w:rFonts w:ascii="Times New Roman" w:hAnsi="Times New Roman" w:cs="Times New Roman"/>
        </w:rPr>
        <w:t xml:space="preserve"> ning panustavad ettevõtluskoostöö arendamisse ja nutika spetsialiseerumise kasvuvaldkondade tugevdamisse.</w:t>
      </w:r>
    </w:p>
    <w:p w14:paraId="6658E09B" w14:textId="4B03AAD4" w:rsidR="00B629C6" w:rsidRPr="00A245DA" w:rsidRDefault="005443F5" w:rsidP="005443F5">
      <w:pPr>
        <w:pStyle w:val="NoSpacing"/>
        <w:tabs>
          <w:tab w:val="left" w:pos="8250"/>
        </w:tabs>
        <w:rPr>
          <w:rFonts w:ascii="Times New Roman" w:hAnsi="Times New Roman" w:cs="Times New Roman"/>
        </w:rPr>
      </w:pPr>
      <w:r w:rsidRPr="00A245DA">
        <w:rPr>
          <w:rFonts w:ascii="Times New Roman" w:hAnsi="Times New Roman" w:cs="Times New Roman"/>
        </w:rPr>
        <w:tab/>
      </w:r>
    </w:p>
    <w:p w14:paraId="33985E30" w14:textId="0783CF3D" w:rsidR="009751B6" w:rsidRPr="00A245DA" w:rsidRDefault="009751B6" w:rsidP="00A03DC7">
      <w:pPr>
        <w:pStyle w:val="NoSpacing"/>
        <w:jc w:val="both"/>
        <w:rPr>
          <w:rFonts w:ascii="Times New Roman" w:hAnsi="Times New Roman" w:cs="Times New Roman"/>
        </w:rPr>
      </w:pPr>
      <w:r w:rsidRPr="00A245DA">
        <w:rPr>
          <w:rFonts w:ascii="Times New Roman" w:hAnsi="Times New Roman" w:cs="Times New Roman"/>
        </w:rPr>
        <w:t xml:space="preserve">ASTRA kavandamise taust ja vajadus tuleneb siseriiklikest prioriteetidest ja valdkondlikest probleemkohtadest, mida käsitlevad põhjalikult riiklikud strateegiad ja arengukavad. </w:t>
      </w:r>
      <w:r w:rsidR="005E7FAA" w:rsidRPr="00A245DA">
        <w:rPr>
          <w:rFonts w:ascii="Times New Roman" w:hAnsi="Times New Roman" w:cs="Times New Roman"/>
        </w:rPr>
        <w:t xml:space="preserve">Selle kaudu panustab ASTRA otseselt riiklike strateegiate ja arengukavad täitmisse ning on seda silmas pidades ka kavandatud. </w:t>
      </w:r>
      <w:r w:rsidR="002C36BF" w:rsidRPr="00A245DA">
        <w:rPr>
          <w:rFonts w:ascii="Times New Roman" w:hAnsi="Times New Roman" w:cs="Times New Roman"/>
        </w:rPr>
        <w:t xml:space="preserve">Näiteks on Eesti teadus- ja arendustegevuse ning innovatsiooni strateegias „Teadmistepõhine Eesti 2014–2020“ esile toodud valdkonna </w:t>
      </w:r>
      <w:r w:rsidR="001B0290" w:rsidRPr="00A245DA">
        <w:rPr>
          <w:rFonts w:ascii="Times New Roman" w:hAnsi="Times New Roman" w:cs="Times New Roman"/>
        </w:rPr>
        <w:t xml:space="preserve">arengu </w:t>
      </w:r>
      <w:r w:rsidR="002C36BF" w:rsidRPr="00A245DA">
        <w:rPr>
          <w:rFonts w:ascii="Times New Roman" w:hAnsi="Times New Roman" w:cs="Times New Roman"/>
        </w:rPr>
        <w:t xml:space="preserve">kitsaskohad, millele strateegia meetmed keskenduvad: </w:t>
      </w:r>
      <w:r w:rsidR="001B0290" w:rsidRPr="00A245DA">
        <w:rPr>
          <w:rFonts w:ascii="Times New Roman" w:hAnsi="Times New Roman" w:cs="Times New Roman"/>
        </w:rPr>
        <w:t>vaja on parandada teadus- ja arendusasutuste koostööd e</w:t>
      </w:r>
      <w:r w:rsidR="002C36BF" w:rsidRPr="00A245DA">
        <w:rPr>
          <w:rFonts w:ascii="Times New Roman" w:hAnsi="Times New Roman" w:cs="Times New Roman"/>
        </w:rPr>
        <w:t>ttevõt</w:t>
      </w:r>
      <w:r w:rsidR="001B0290" w:rsidRPr="00A245DA">
        <w:rPr>
          <w:rFonts w:ascii="Times New Roman" w:hAnsi="Times New Roman" w:cs="Times New Roman"/>
        </w:rPr>
        <w:t xml:space="preserve">etega ning teadus- ja arendustegevus peab tugevamini toimima majanduse ja ühiskonna huvides, sh rakenduste tähtsustamise ja ettevõtluskoostöö kaudu; tuleb tõsta inimressursi kvaliteeti ning tegeleda teadlaste ning inseneride järelkasvu küsimustega, sh </w:t>
      </w:r>
      <w:r w:rsidR="002C36BF" w:rsidRPr="00A245DA">
        <w:rPr>
          <w:rFonts w:ascii="Times New Roman" w:hAnsi="Times New Roman" w:cs="Times New Roman"/>
        </w:rPr>
        <w:t>doktoriõppe efektiivsus</w:t>
      </w:r>
      <w:r w:rsidR="001B0290" w:rsidRPr="00A245DA">
        <w:rPr>
          <w:rFonts w:ascii="Times New Roman" w:hAnsi="Times New Roman" w:cs="Times New Roman"/>
        </w:rPr>
        <w:t>e suurendamisega</w:t>
      </w:r>
      <w:r w:rsidR="005E7FAA" w:rsidRPr="00A245DA">
        <w:rPr>
          <w:rFonts w:ascii="Times New Roman" w:hAnsi="Times New Roman" w:cs="Times New Roman"/>
        </w:rPr>
        <w:t>; vaja on</w:t>
      </w:r>
      <w:r w:rsidR="002C36BF" w:rsidRPr="00A245DA">
        <w:rPr>
          <w:rFonts w:ascii="Times New Roman" w:hAnsi="Times New Roman" w:cs="Times New Roman"/>
        </w:rPr>
        <w:t xml:space="preserve"> </w:t>
      </w:r>
      <w:r w:rsidR="001B0290" w:rsidRPr="00A245DA">
        <w:rPr>
          <w:rFonts w:ascii="Times New Roman" w:hAnsi="Times New Roman" w:cs="Times New Roman"/>
        </w:rPr>
        <w:t>tugevdada teaduse ja kõrghariduse prioriteetide ja rahastamise seoseid, suurendada rahvusvahelist konkurentsivõimet, tagada taristu tõhus kasutamine</w:t>
      </w:r>
      <w:r w:rsidR="005E7FAA" w:rsidRPr="00A245DA">
        <w:rPr>
          <w:rFonts w:ascii="Times New Roman" w:hAnsi="Times New Roman" w:cs="Times New Roman"/>
        </w:rPr>
        <w:t xml:space="preserve"> jne. </w:t>
      </w:r>
      <w:r w:rsidR="00AE1B1B" w:rsidRPr="00A245DA">
        <w:rPr>
          <w:rFonts w:ascii="Times New Roman" w:hAnsi="Times New Roman" w:cs="Times New Roman"/>
        </w:rPr>
        <w:t xml:space="preserve">Konkreetsemalt on strateegias sõnastatud tegevus 1.1., mille kohaselt tuleb „toetada kõrgkoolide ja teadus- ja arendusasutuste </w:t>
      </w:r>
      <w:r w:rsidR="00AE1B1B" w:rsidRPr="00A245DA">
        <w:rPr>
          <w:rFonts w:ascii="Times New Roman" w:hAnsi="Times New Roman" w:cs="Times New Roman"/>
        </w:rPr>
        <w:lastRenderedPageBreak/>
        <w:t xml:space="preserve">vastutusvaldkondade arendamist, struktuurseid muutusi, keskendumist strateegilisele põhitegevusele ning asutuste võrgustiku korrastamist; suurendada teadusasutuste vastutust oma tegevuse tulemuslikkuse eest“. </w:t>
      </w:r>
      <w:r w:rsidRPr="00A245DA">
        <w:rPr>
          <w:rFonts w:ascii="Times New Roman" w:hAnsi="Times New Roman" w:cs="Times New Roman"/>
        </w:rPr>
        <w:t>Riiklikke strateegiaid ja arengukavasid, mille</w:t>
      </w:r>
      <w:r w:rsidR="00600EF5" w:rsidRPr="00A245DA">
        <w:rPr>
          <w:rFonts w:ascii="Times New Roman" w:hAnsi="Times New Roman" w:cs="Times New Roman"/>
        </w:rPr>
        <w:t xml:space="preserve"> täitmisse</w:t>
      </w:r>
      <w:r w:rsidRPr="00A245DA">
        <w:rPr>
          <w:rFonts w:ascii="Times New Roman" w:hAnsi="Times New Roman" w:cs="Times New Roman"/>
        </w:rPr>
        <w:t xml:space="preserve"> ASTRA rakendamine </w:t>
      </w:r>
      <w:r w:rsidR="002C36BF" w:rsidRPr="00A245DA">
        <w:rPr>
          <w:rFonts w:ascii="Times New Roman" w:hAnsi="Times New Roman" w:cs="Times New Roman"/>
        </w:rPr>
        <w:t>panustab</w:t>
      </w:r>
      <w:r w:rsidRPr="00A245DA">
        <w:rPr>
          <w:rFonts w:ascii="Times New Roman" w:hAnsi="Times New Roman" w:cs="Times New Roman"/>
        </w:rPr>
        <w:t>, võib esile tuua neli</w:t>
      </w:r>
      <w:r w:rsidR="002C36BF" w:rsidRPr="00A245DA">
        <w:rPr>
          <w:rFonts w:ascii="Times New Roman" w:hAnsi="Times New Roman" w:cs="Times New Roman"/>
        </w:rPr>
        <w:t xml:space="preserve"> ning nende seosed ASTRA-ga on käsitletud ka 1. peatüki „Üldsätted“ all.</w:t>
      </w:r>
    </w:p>
    <w:p w14:paraId="77621B18" w14:textId="77777777" w:rsidR="009751B6" w:rsidRPr="00A245DA" w:rsidRDefault="009751B6" w:rsidP="00600EF5">
      <w:pPr>
        <w:pStyle w:val="NoSpacing"/>
        <w:jc w:val="both"/>
        <w:rPr>
          <w:rFonts w:ascii="Times New Roman" w:hAnsi="Times New Roman" w:cs="Times New Roman"/>
        </w:rPr>
      </w:pPr>
    </w:p>
    <w:p w14:paraId="349BE673" w14:textId="6C2F4409" w:rsidR="00D12F37" w:rsidRPr="00A245DA" w:rsidRDefault="00D12F37" w:rsidP="003F37EC">
      <w:pPr>
        <w:spacing w:after="0"/>
        <w:rPr>
          <w:rFonts w:ascii="Times New Roman" w:hAnsi="Times New Roman"/>
          <w:u w:val="single"/>
        </w:rPr>
      </w:pPr>
      <w:r w:rsidRPr="00A245DA">
        <w:rPr>
          <w:rFonts w:ascii="Times New Roman" w:hAnsi="Times New Roman"/>
          <w:u w:val="single"/>
        </w:rPr>
        <w:t>Meetme tegevuse rahastamine ja väljumisstrateegia</w:t>
      </w:r>
    </w:p>
    <w:p w14:paraId="43854B78" w14:textId="5BE49B86" w:rsidR="003F37EC" w:rsidRPr="00A245DA" w:rsidRDefault="00A03DC7" w:rsidP="003F37EC">
      <w:pPr>
        <w:spacing w:after="0"/>
        <w:rPr>
          <w:rFonts w:ascii="Times New Roman" w:hAnsi="Times New Roman"/>
        </w:rPr>
      </w:pPr>
      <w:r w:rsidRPr="00A245DA">
        <w:rPr>
          <w:rFonts w:ascii="Times New Roman" w:hAnsi="Times New Roman"/>
        </w:rPr>
        <w:t xml:space="preserve">Meetme tegevuse kogumaksumus on </w:t>
      </w:r>
      <w:r w:rsidRPr="00A245DA">
        <w:rPr>
          <w:rFonts w:ascii="Times New Roman" w:hAnsi="Times New Roman"/>
          <w:b/>
        </w:rPr>
        <w:t>129 411 765 eurot</w:t>
      </w:r>
      <w:r w:rsidRPr="00A245DA">
        <w:rPr>
          <w:rFonts w:ascii="Times New Roman" w:hAnsi="Times New Roman"/>
        </w:rPr>
        <w:t xml:space="preserve">, millest EL toetuse osakaal on 85% ehk </w:t>
      </w:r>
      <w:r w:rsidRPr="00A245DA">
        <w:rPr>
          <w:rFonts w:ascii="Times New Roman" w:hAnsi="Times New Roman"/>
          <w:b/>
        </w:rPr>
        <w:t>110 000 000 eurot</w:t>
      </w:r>
      <w:r w:rsidRPr="00A245DA">
        <w:rPr>
          <w:rFonts w:ascii="Times New Roman" w:hAnsi="Times New Roman"/>
        </w:rPr>
        <w:t xml:space="preserve">. Riikliku kaasfinantseeringu osakaal on </w:t>
      </w:r>
      <w:r w:rsidR="00240143" w:rsidRPr="00A245DA">
        <w:rPr>
          <w:rFonts w:ascii="Times New Roman" w:hAnsi="Times New Roman"/>
        </w:rPr>
        <w:t>10</w:t>
      </w:r>
      <w:r w:rsidRPr="00A245DA">
        <w:rPr>
          <w:rFonts w:ascii="Times New Roman" w:hAnsi="Times New Roman"/>
        </w:rPr>
        <w:t>% ehk</w:t>
      </w:r>
      <w:r w:rsidR="00240143" w:rsidRPr="00A245DA">
        <w:rPr>
          <w:rFonts w:ascii="Times New Roman" w:hAnsi="Times New Roman"/>
        </w:rPr>
        <w:t xml:space="preserve"> </w:t>
      </w:r>
      <w:r w:rsidR="00240143" w:rsidRPr="00A245DA">
        <w:rPr>
          <w:rFonts w:ascii="Times New Roman" w:hAnsi="Times New Roman"/>
          <w:b/>
        </w:rPr>
        <w:t>12 941 176 eurot</w:t>
      </w:r>
      <w:r w:rsidR="00240143" w:rsidRPr="00A245DA">
        <w:rPr>
          <w:rFonts w:ascii="Times New Roman" w:hAnsi="Times New Roman"/>
        </w:rPr>
        <w:t xml:space="preserve"> </w:t>
      </w:r>
      <w:r w:rsidR="001E4551" w:rsidRPr="00A245DA">
        <w:rPr>
          <w:rFonts w:ascii="Times New Roman" w:hAnsi="Times New Roman"/>
        </w:rPr>
        <w:t xml:space="preserve">ja </w:t>
      </w:r>
      <w:r w:rsidR="00B812DC" w:rsidRPr="00A245DA">
        <w:rPr>
          <w:rFonts w:ascii="Times New Roman" w:hAnsi="Times New Roman"/>
        </w:rPr>
        <w:t xml:space="preserve">taotlejate omafinantseeringu osakaal on vähemalt </w:t>
      </w:r>
      <w:r w:rsidR="001E4551" w:rsidRPr="00A245DA">
        <w:rPr>
          <w:rFonts w:ascii="Times New Roman" w:hAnsi="Times New Roman"/>
        </w:rPr>
        <w:t>5%</w:t>
      </w:r>
      <w:r w:rsidR="00240143" w:rsidRPr="00A245DA">
        <w:rPr>
          <w:rFonts w:ascii="Times New Roman" w:hAnsi="Times New Roman"/>
        </w:rPr>
        <w:t xml:space="preserve"> ehk </w:t>
      </w:r>
      <w:r w:rsidR="00240143" w:rsidRPr="00A245DA">
        <w:rPr>
          <w:rFonts w:ascii="Times New Roman" w:hAnsi="Times New Roman"/>
          <w:b/>
        </w:rPr>
        <w:t>6 470 589 eurot</w:t>
      </w:r>
      <w:r w:rsidR="00CA576A" w:rsidRPr="00A245DA">
        <w:rPr>
          <w:rFonts w:ascii="Times New Roman" w:hAnsi="Times New Roman"/>
        </w:rPr>
        <w:t>.</w:t>
      </w:r>
      <w:r w:rsidRPr="00A245DA">
        <w:rPr>
          <w:rFonts w:ascii="Times New Roman" w:hAnsi="Times New Roman"/>
        </w:rPr>
        <w:t xml:space="preserve"> </w:t>
      </w:r>
      <w:r w:rsidR="00DF623B" w:rsidRPr="00A245DA">
        <w:rPr>
          <w:rFonts w:ascii="Times New Roman" w:hAnsi="Times New Roman"/>
        </w:rPr>
        <w:t xml:space="preserve">Vastavalt rakenduskavale ei tehta investeerimisotsuseid „eraldiseisvate üksikotsustena, vaid „rätseplahendusena“ kõrgkoolide ja TA-asutuste institutsionaalse arendamistoetuse osana, mis kinnitatakse investeeringute kavana Vabariigi Valitsuse tasemel.“ </w:t>
      </w:r>
      <w:r w:rsidR="000B586F" w:rsidRPr="00A245DA">
        <w:rPr>
          <w:rFonts w:ascii="Times New Roman" w:hAnsi="Times New Roman"/>
        </w:rPr>
        <w:t>Toetatakse asutuste institutsionaalse võimekuse arendamise tegevusi</w:t>
      </w:r>
      <w:r w:rsidR="006B2AF7" w:rsidRPr="00A245DA">
        <w:rPr>
          <w:rFonts w:ascii="Times New Roman" w:hAnsi="Times New Roman"/>
        </w:rPr>
        <w:t xml:space="preserve"> ja</w:t>
      </w:r>
      <w:r w:rsidR="009623B3" w:rsidRPr="00A245DA">
        <w:rPr>
          <w:rFonts w:ascii="Times New Roman" w:hAnsi="Times New Roman"/>
        </w:rPr>
        <w:t xml:space="preserve"> </w:t>
      </w:r>
      <w:r w:rsidR="006B2AF7" w:rsidRPr="00A245DA">
        <w:rPr>
          <w:rFonts w:ascii="Times New Roman" w:hAnsi="Times New Roman"/>
        </w:rPr>
        <w:t>reformide</w:t>
      </w:r>
      <w:r w:rsidR="009623B3" w:rsidRPr="00A245DA">
        <w:rPr>
          <w:rFonts w:ascii="Times New Roman" w:hAnsi="Times New Roman"/>
        </w:rPr>
        <w:t xml:space="preserve"> läbiviimist</w:t>
      </w:r>
      <w:r w:rsidR="006B2AF7" w:rsidRPr="00A245DA">
        <w:rPr>
          <w:rFonts w:ascii="Times New Roman" w:hAnsi="Times New Roman"/>
        </w:rPr>
        <w:t>, mis annavad</w:t>
      </w:r>
      <w:r w:rsidR="009623B3" w:rsidRPr="00A245DA">
        <w:rPr>
          <w:rFonts w:ascii="Times New Roman" w:hAnsi="Times New Roman"/>
        </w:rPr>
        <w:t xml:space="preserve"> arengutõuke</w:t>
      </w:r>
      <w:r w:rsidR="006B2AF7" w:rsidRPr="00A245DA">
        <w:rPr>
          <w:rFonts w:ascii="Times New Roman" w:hAnsi="Times New Roman"/>
        </w:rPr>
        <w:t xml:space="preserve"> ning mis</w:t>
      </w:r>
      <w:r w:rsidR="000B586F" w:rsidRPr="00A245DA">
        <w:rPr>
          <w:rFonts w:ascii="Times New Roman" w:hAnsi="Times New Roman"/>
        </w:rPr>
        <w:t xml:space="preserve"> on oma olemuselt tähtajalised ja ajutise iseloomuga</w:t>
      </w:r>
      <w:r w:rsidR="006B2AF7" w:rsidRPr="00A245DA">
        <w:rPr>
          <w:rFonts w:ascii="Times New Roman" w:hAnsi="Times New Roman"/>
        </w:rPr>
        <w:t xml:space="preserve">, </w:t>
      </w:r>
      <w:r w:rsidR="000B586F" w:rsidRPr="00A245DA">
        <w:rPr>
          <w:rFonts w:ascii="Times New Roman" w:hAnsi="Times New Roman"/>
        </w:rPr>
        <w:t xml:space="preserve">seega ei vaja </w:t>
      </w:r>
      <w:r w:rsidR="00AE1B1B" w:rsidRPr="00A245DA">
        <w:rPr>
          <w:rFonts w:ascii="Times New Roman" w:hAnsi="Times New Roman"/>
        </w:rPr>
        <w:t xml:space="preserve">mahukat </w:t>
      </w:r>
      <w:r w:rsidR="000B586F" w:rsidRPr="00A245DA">
        <w:rPr>
          <w:rFonts w:ascii="Times New Roman" w:hAnsi="Times New Roman"/>
        </w:rPr>
        <w:t>väljumisstrateegiat tegevuste rahastamiseks pärast toetuse lõppemist.</w:t>
      </w:r>
      <w:r w:rsidR="000B378D" w:rsidRPr="00A245DA">
        <w:rPr>
          <w:rFonts w:ascii="Times New Roman" w:hAnsi="Times New Roman"/>
        </w:rPr>
        <w:t xml:space="preserve"> </w:t>
      </w:r>
      <w:r w:rsidR="009A4E12" w:rsidRPr="00A245DA">
        <w:rPr>
          <w:rFonts w:ascii="Times New Roman" w:hAnsi="Times New Roman"/>
        </w:rPr>
        <w:t>Taristusse investeerimisel tekkivad püsikulud tuleb taotlejail katta olemasolevate vahendite, sh riigieelarvelise toetuse arvel</w:t>
      </w:r>
      <w:r w:rsidR="0039251C" w:rsidRPr="00A245DA">
        <w:rPr>
          <w:rFonts w:ascii="Times New Roman" w:hAnsi="Times New Roman"/>
        </w:rPr>
        <w:t>t</w:t>
      </w:r>
      <w:r w:rsidR="009A4E12" w:rsidRPr="00A245DA">
        <w:rPr>
          <w:rFonts w:ascii="Times New Roman" w:hAnsi="Times New Roman"/>
        </w:rPr>
        <w:t xml:space="preserve"> kehtiva baasrahastamise tingimustel. Asutuste taristu püsikulude katmise võimekust hinnatakse </w:t>
      </w:r>
      <w:r w:rsidR="000137E3" w:rsidRPr="00A245DA">
        <w:rPr>
          <w:rFonts w:ascii="Times New Roman" w:hAnsi="Times New Roman"/>
        </w:rPr>
        <w:t xml:space="preserve">juba </w:t>
      </w:r>
      <w:r w:rsidR="009A4E12" w:rsidRPr="00A245DA">
        <w:rPr>
          <w:rFonts w:ascii="Times New Roman" w:hAnsi="Times New Roman"/>
        </w:rPr>
        <w:t>ettepanekute valikul</w:t>
      </w:r>
      <w:r w:rsidR="00457A2F" w:rsidRPr="00A245DA">
        <w:rPr>
          <w:rFonts w:ascii="Times New Roman" w:hAnsi="Times New Roman"/>
        </w:rPr>
        <w:t xml:space="preserve"> (vt § 11 lg 1 p 9)</w:t>
      </w:r>
      <w:r w:rsidR="009A4E12" w:rsidRPr="00A245DA">
        <w:rPr>
          <w:rFonts w:ascii="Times New Roman" w:hAnsi="Times New Roman"/>
        </w:rPr>
        <w:t xml:space="preserve">. </w:t>
      </w:r>
      <w:r w:rsidR="00E755E6" w:rsidRPr="00A245DA">
        <w:rPr>
          <w:rFonts w:ascii="Times New Roman" w:hAnsi="Times New Roman"/>
        </w:rPr>
        <w:t xml:space="preserve">Väljumisstrateegia osaks on ka meetme tegevuste raames lepingulise teaduskoostöö mahu kasvatamine, mis võimaldab asutustel pärast toetuse lõppemist teatavaid kulusid selle arvelt katta. </w:t>
      </w:r>
      <w:r w:rsidR="003F37EC" w:rsidRPr="00A245DA">
        <w:rPr>
          <w:rFonts w:ascii="Times New Roman" w:hAnsi="Times New Roman"/>
        </w:rPr>
        <w:t xml:space="preserve">Teatud tegevuste (nt  </w:t>
      </w:r>
      <w:r w:rsidR="00963B53" w:rsidRPr="00A245DA">
        <w:rPr>
          <w:rFonts w:ascii="Times New Roman" w:hAnsi="Times New Roman"/>
        </w:rPr>
        <w:t xml:space="preserve">doktoriõppe efektiivsuse ja kvaliteedi tõstmiseks tehtavad tegevused,  </w:t>
      </w:r>
      <w:r w:rsidR="003F37EC" w:rsidRPr="00A245DA">
        <w:rPr>
          <w:rFonts w:ascii="Times New Roman" w:hAnsi="Times New Roman"/>
        </w:rPr>
        <w:t xml:space="preserve">doktorikoolid) jätkumiseks tuleb </w:t>
      </w:r>
      <w:r w:rsidR="00B44A28" w:rsidRPr="00A245DA">
        <w:rPr>
          <w:rFonts w:ascii="Times New Roman" w:hAnsi="Times New Roman"/>
        </w:rPr>
        <w:t>ilmselt</w:t>
      </w:r>
      <w:r w:rsidR="003F37EC" w:rsidRPr="00A245DA">
        <w:rPr>
          <w:rFonts w:ascii="Times New Roman" w:hAnsi="Times New Roman"/>
        </w:rPr>
        <w:t xml:space="preserve"> kavandada vahendeid riigieelarvesse kooskõlas teadus- ja arendustegevuse ning innovatsiooni strateegias „Teadmistepõhine Eesti 2014–2020“ kavandatud tempoga, mis tagab ka „Konkurentsivõime kava „Eesti 2020“ sihteesmärgi  täitmise, s.t. tuleb saavutada teadus- ja arendustegevuse riikliku rahastamise tase 1% SKP-st (aastaks 2015, ning säilitada seda taset, milleks on vajalik teadus-ja arendustegevuse riikliku rahastamise kasv proportsionaalselt SKP kasvuga). Meetme tegevuse täpsem väljumisstrateegia töötatakse välja 2015. a teises pooles struktuuritoetuste väljumisstrateegia raames.</w:t>
      </w:r>
    </w:p>
    <w:p w14:paraId="6BAD1315" w14:textId="77777777" w:rsidR="003F37EC" w:rsidRPr="00A245DA" w:rsidRDefault="003F37EC" w:rsidP="003F37EC">
      <w:pPr>
        <w:spacing w:before="0" w:after="0"/>
        <w:rPr>
          <w:rFonts w:ascii="Times New Roman" w:hAnsi="Times New Roman"/>
          <w:color w:val="0070C0"/>
        </w:rPr>
      </w:pPr>
    </w:p>
    <w:p w14:paraId="5114613E" w14:textId="4FA1BF25" w:rsidR="003F37EC" w:rsidRPr="00A245DA" w:rsidRDefault="003F37EC" w:rsidP="00A03DC7">
      <w:pPr>
        <w:pStyle w:val="NoSpacing"/>
        <w:jc w:val="both"/>
        <w:rPr>
          <w:rFonts w:ascii="Times New Roman" w:hAnsi="Times New Roman" w:cs="Times New Roman"/>
          <w:u w:val="single"/>
        </w:rPr>
      </w:pPr>
      <w:r w:rsidRPr="00A245DA">
        <w:rPr>
          <w:rFonts w:ascii="Times New Roman" w:hAnsi="Times New Roman" w:cs="Times New Roman"/>
          <w:u w:val="single"/>
        </w:rPr>
        <w:t>ASTRA rakendusskeem</w:t>
      </w:r>
    </w:p>
    <w:p w14:paraId="5000F41C" w14:textId="77777777" w:rsidR="003F37EC" w:rsidRPr="00A245DA" w:rsidRDefault="003F37EC" w:rsidP="00A03DC7">
      <w:pPr>
        <w:pStyle w:val="NoSpacing"/>
        <w:jc w:val="both"/>
        <w:rPr>
          <w:rFonts w:ascii="Times New Roman" w:hAnsi="Times New Roman" w:cs="Times New Roman"/>
        </w:rPr>
      </w:pPr>
    </w:p>
    <w:p w14:paraId="6658E09C" w14:textId="234773B0" w:rsidR="00A03DC7" w:rsidRPr="00A245DA" w:rsidRDefault="00A03DC7" w:rsidP="00A03DC7">
      <w:pPr>
        <w:pStyle w:val="NoSpacing"/>
        <w:jc w:val="both"/>
        <w:rPr>
          <w:rFonts w:ascii="Times New Roman" w:hAnsi="Times New Roman" w:cs="Times New Roman"/>
        </w:rPr>
      </w:pPr>
      <w:r w:rsidRPr="00A245DA">
        <w:rPr>
          <w:rFonts w:ascii="Times New Roman" w:hAnsi="Times New Roman" w:cs="Times New Roman"/>
        </w:rPr>
        <w:t xml:space="preserve">Esimene </w:t>
      </w:r>
      <w:r w:rsidR="00FC7099" w:rsidRPr="00A245DA">
        <w:rPr>
          <w:rFonts w:ascii="Times New Roman" w:hAnsi="Times New Roman" w:cs="Times New Roman"/>
        </w:rPr>
        <w:t>ettepanekute kogumise voor</w:t>
      </w:r>
      <w:r w:rsidRPr="00A245DA">
        <w:rPr>
          <w:rFonts w:ascii="Times New Roman" w:hAnsi="Times New Roman" w:cs="Times New Roman"/>
        </w:rPr>
        <w:t xml:space="preserve"> </w:t>
      </w:r>
      <w:r w:rsidR="003F37EC" w:rsidRPr="00A245DA">
        <w:rPr>
          <w:rFonts w:ascii="Times New Roman" w:hAnsi="Times New Roman" w:cs="Times New Roman"/>
        </w:rPr>
        <w:t xml:space="preserve">toetuse andmiseks </w:t>
      </w:r>
      <w:r w:rsidRPr="00A245DA">
        <w:rPr>
          <w:rFonts w:ascii="Times New Roman" w:hAnsi="Times New Roman" w:cs="Times New Roman"/>
        </w:rPr>
        <w:t xml:space="preserve">toimub pärast toetuse andmise tingimuste kinnitamist </w:t>
      </w:r>
      <w:r w:rsidR="00FC7099" w:rsidRPr="00A245DA">
        <w:rPr>
          <w:rFonts w:ascii="Times New Roman" w:hAnsi="Times New Roman" w:cs="Times New Roman"/>
        </w:rPr>
        <w:t>ASTRA</w:t>
      </w:r>
      <w:r w:rsidRPr="00A245DA">
        <w:rPr>
          <w:rFonts w:ascii="Times New Roman" w:hAnsi="Times New Roman" w:cs="Times New Roman"/>
        </w:rPr>
        <w:t xml:space="preserve"> kogueelarve ulatuses. </w:t>
      </w:r>
      <w:r w:rsidR="003F37EC" w:rsidRPr="00A245DA">
        <w:rPr>
          <w:rFonts w:ascii="Times New Roman" w:hAnsi="Times New Roman" w:cs="Times New Roman"/>
        </w:rPr>
        <w:t xml:space="preserve">Projektid, mille raames rajatakse teadus- ja õppehooneid, kinnitatakse Vabariigi Valitsuse poolt investeeringute kavaga. </w:t>
      </w:r>
      <w:r w:rsidR="00B44A28" w:rsidRPr="00A245DA">
        <w:rPr>
          <w:rFonts w:ascii="Times New Roman" w:hAnsi="Times New Roman" w:cs="Times New Roman"/>
        </w:rPr>
        <w:t>Muud</w:t>
      </w:r>
      <w:r w:rsidR="003F37EC" w:rsidRPr="00A245DA">
        <w:rPr>
          <w:rFonts w:ascii="Times New Roman" w:hAnsi="Times New Roman" w:cs="Times New Roman"/>
        </w:rPr>
        <w:t xml:space="preserve"> projektid</w:t>
      </w:r>
      <w:r w:rsidR="00B44A28" w:rsidRPr="00A245DA">
        <w:rPr>
          <w:rFonts w:ascii="Times New Roman" w:hAnsi="Times New Roman" w:cs="Times New Roman"/>
        </w:rPr>
        <w:t>, mis ei sisalda investeeringuid teadus- ja õppehoonete rajamiseks,</w:t>
      </w:r>
      <w:r w:rsidR="003F37EC" w:rsidRPr="00A245DA">
        <w:rPr>
          <w:rFonts w:ascii="Times New Roman" w:hAnsi="Times New Roman" w:cs="Times New Roman"/>
        </w:rPr>
        <w:t xml:space="preserve"> kiidetakse heaks hindamiskomisjoni poolt. Pärast investeeringute kava kinnitamist (teadus- ja õppehoonete rajamist hõlmavad projektid) või hindamiskomisjoni heakskiitu </w:t>
      </w:r>
      <w:r w:rsidR="00E755E6" w:rsidRPr="00A245DA">
        <w:rPr>
          <w:rFonts w:ascii="Times New Roman" w:hAnsi="Times New Roman" w:cs="Times New Roman"/>
        </w:rPr>
        <w:t xml:space="preserve">(projektid, mis investeeringuid teadus- ja õppehoonete rajamisse ei sisalda) </w:t>
      </w:r>
      <w:r w:rsidR="003F37EC" w:rsidRPr="00A245DA">
        <w:rPr>
          <w:rFonts w:ascii="Times New Roman" w:hAnsi="Times New Roman" w:cs="Times New Roman"/>
        </w:rPr>
        <w:t xml:space="preserve">esitatakse rakendusüksusele taotlus toetuse saamiseks. </w:t>
      </w:r>
      <w:r w:rsidR="00DF1B42" w:rsidRPr="00A245DA">
        <w:rPr>
          <w:rFonts w:ascii="Times New Roman" w:hAnsi="Times New Roman" w:cs="Times New Roman"/>
        </w:rPr>
        <w:t>Kõik toetat</w:t>
      </w:r>
      <w:r w:rsidR="002733B9" w:rsidRPr="00A245DA">
        <w:rPr>
          <w:rFonts w:ascii="Times New Roman" w:hAnsi="Times New Roman" w:cs="Times New Roman"/>
        </w:rPr>
        <w:t>u</w:t>
      </w:r>
      <w:r w:rsidR="00DF1B42" w:rsidRPr="00A245DA">
        <w:rPr>
          <w:rFonts w:ascii="Times New Roman" w:hAnsi="Times New Roman" w:cs="Times New Roman"/>
        </w:rPr>
        <w:t xml:space="preserve">d projektid läbivad vahehindamise (2019), mille järel otsustatakse vajadusel ka projektide rahastuse vähendamine või lõpetamine. </w:t>
      </w:r>
      <w:r w:rsidRPr="00A245DA">
        <w:rPr>
          <w:rFonts w:ascii="Times New Roman" w:hAnsi="Times New Roman" w:cs="Times New Roman"/>
        </w:rPr>
        <w:t>Kui vahehindamis</w:t>
      </w:r>
      <w:r w:rsidR="00DF1B42" w:rsidRPr="00A245DA">
        <w:rPr>
          <w:rFonts w:ascii="Times New Roman" w:hAnsi="Times New Roman" w:cs="Times New Roman"/>
        </w:rPr>
        <w:t xml:space="preserve">e </w:t>
      </w:r>
      <w:r w:rsidR="00AE1B1B" w:rsidRPr="00A245DA">
        <w:rPr>
          <w:rFonts w:ascii="Times New Roman" w:hAnsi="Times New Roman" w:cs="Times New Roman"/>
        </w:rPr>
        <w:t xml:space="preserve">või projektide täitmise </w:t>
      </w:r>
      <w:r w:rsidR="00DF1B42" w:rsidRPr="00A245DA">
        <w:rPr>
          <w:rFonts w:ascii="Times New Roman" w:hAnsi="Times New Roman" w:cs="Times New Roman"/>
        </w:rPr>
        <w:t>tulemusena</w:t>
      </w:r>
      <w:r w:rsidRPr="00A245DA">
        <w:rPr>
          <w:rFonts w:ascii="Times New Roman" w:hAnsi="Times New Roman" w:cs="Times New Roman"/>
        </w:rPr>
        <w:t xml:space="preserve"> on </w:t>
      </w:r>
      <w:r w:rsidR="00DF1B42" w:rsidRPr="00A245DA">
        <w:rPr>
          <w:rFonts w:ascii="Times New Roman" w:hAnsi="Times New Roman" w:cs="Times New Roman"/>
        </w:rPr>
        <w:t>tekkinud</w:t>
      </w:r>
      <w:r w:rsidRPr="00A245DA">
        <w:rPr>
          <w:rFonts w:ascii="Times New Roman" w:hAnsi="Times New Roman" w:cs="Times New Roman"/>
        </w:rPr>
        <w:t xml:space="preserve"> </w:t>
      </w:r>
      <w:r w:rsidR="00B44A28" w:rsidRPr="00A245DA">
        <w:rPr>
          <w:rFonts w:ascii="Times New Roman" w:hAnsi="Times New Roman" w:cs="Times New Roman"/>
        </w:rPr>
        <w:t xml:space="preserve">meetmesse </w:t>
      </w:r>
      <w:r w:rsidRPr="00A245DA">
        <w:rPr>
          <w:rFonts w:ascii="Times New Roman" w:hAnsi="Times New Roman" w:cs="Times New Roman"/>
        </w:rPr>
        <w:t xml:space="preserve">vabanenud vahendeid, on võimalik korraldada teine </w:t>
      </w:r>
      <w:r w:rsidR="00DF1B42" w:rsidRPr="00A245DA">
        <w:rPr>
          <w:rFonts w:ascii="Times New Roman" w:hAnsi="Times New Roman" w:cs="Times New Roman"/>
        </w:rPr>
        <w:t xml:space="preserve">ettepanekute kogumise </w:t>
      </w:r>
      <w:r w:rsidRPr="00A245DA">
        <w:rPr>
          <w:rFonts w:ascii="Times New Roman" w:hAnsi="Times New Roman" w:cs="Times New Roman"/>
        </w:rPr>
        <w:t xml:space="preserve">voor (2019) vabanenud vahendite ulatuses. </w:t>
      </w:r>
    </w:p>
    <w:p w14:paraId="29482B9A" w14:textId="77777777" w:rsidR="00D2527E" w:rsidRPr="00A245DA" w:rsidRDefault="00D2527E" w:rsidP="00A03DC7">
      <w:pPr>
        <w:pStyle w:val="NoSpacing"/>
        <w:jc w:val="both"/>
        <w:rPr>
          <w:rFonts w:ascii="Times New Roman" w:hAnsi="Times New Roman" w:cs="Times New Roman"/>
        </w:rPr>
      </w:pPr>
    </w:p>
    <w:p w14:paraId="50BD80DF" w14:textId="54E58450" w:rsidR="00D2527E" w:rsidRPr="00A245DA" w:rsidRDefault="00E74097" w:rsidP="00A03DC7">
      <w:pPr>
        <w:pStyle w:val="NoSpacing"/>
        <w:jc w:val="both"/>
        <w:rPr>
          <w:rFonts w:ascii="Times New Roman" w:hAnsi="Times New Roman" w:cs="Times New Roman"/>
          <w:u w:val="single"/>
        </w:rPr>
      </w:pPr>
      <w:r w:rsidRPr="00A245DA">
        <w:rPr>
          <w:rFonts w:ascii="Times New Roman" w:hAnsi="Times New Roman" w:cs="Times New Roman"/>
          <w:u w:val="single"/>
        </w:rPr>
        <w:t>ASTRA on otseselt seotud järgmiste</w:t>
      </w:r>
      <w:r w:rsidR="00D2527E" w:rsidRPr="00A245DA">
        <w:rPr>
          <w:rFonts w:ascii="Times New Roman" w:hAnsi="Times New Roman" w:cs="Times New Roman"/>
          <w:u w:val="single"/>
        </w:rPr>
        <w:t xml:space="preserve"> rakenduskava </w:t>
      </w:r>
      <w:r w:rsidRPr="00A245DA">
        <w:rPr>
          <w:rFonts w:ascii="Times New Roman" w:hAnsi="Times New Roman" w:cs="Times New Roman"/>
          <w:u w:val="single"/>
        </w:rPr>
        <w:t xml:space="preserve">teiste </w:t>
      </w:r>
      <w:r w:rsidR="00D2527E" w:rsidRPr="00A245DA">
        <w:rPr>
          <w:rFonts w:ascii="Times New Roman" w:hAnsi="Times New Roman" w:cs="Times New Roman"/>
          <w:u w:val="single"/>
        </w:rPr>
        <w:t>meetmete ja tegevustega</w:t>
      </w:r>
      <w:r w:rsidRPr="00A245DA">
        <w:rPr>
          <w:rFonts w:ascii="Times New Roman" w:hAnsi="Times New Roman" w:cs="Times New Roman"/>
          <w:u w:val="single"/>
        </w:rPr>
        <w:t>:</w:t>
      </w:r>
    </w:p>
    <w:p w14:paraId="7F2B3C7E" w14:textId="77777777" w:rsidR="00D2527E" w:rsidRPr="00A245DA" w:rsidRDefault="00D2527E" w:rsidP="00D2527E">
      <w:pPr>
        <w:pStyle w:val="NoSpacing"/>
        <w:rPr>
          <w:rFonts w:ascii="Times New Roman" w:hAnsi="Times New Roman" w:cs="Times New Roman"/>
        </w:rPr>
      </w:pPr>
    </w:p>
    <w:p w14:paraId="01CDFB76" w14:textId="7DDCC84C" w:rsidR="00D01E3E" w:rsidRPr="00A245DA" w:rsidRDefault="00D2527E" w:rsidP="00D01E3E">
      <w:pPr>
        <w:pStyle w:val="NoSpacing"/>
        <w:jc w:val="both"/>
        <w:rPr>
          <w:rFonts w:ascii="Times New Roman" w:hAnsi="Times New Roman" w:cs="Times New Roman"/>
        </w:rPr>
      </w:pPr>
      <w:r w:rsidRPr="00A245DA">
        <w:rPr>
          <w:rFonts w:ascii="Times New Roman" w:hAnsi="Times New Roman" w:cs="Times New Roman"/>
          <w:color w:val="000000"/>
        </w:rPr>
        <w:t>Meetme „Eesti T&amp;A rahvusvahelise konkurentsivõime suurendamine ja osalemine üle-euroopalistes teadusalgatustes“ tegevus</w:t>
      </w:r>
      <w:r w:rsidR="005443F5" w:rsidRPr="00A245DA">
        <w:rPr>
          <w:rFonts w:ascii="Times New Roman" w:hAnsi="Times New Roman" w:cs="Times New Roman"/>
          <w:color w:val="000000"/>
        </w:rPr>
        <w:t>e</w:t>
      </w:r>
      <w:r w:rsidRPr="00A245DA">
        <w:rPr>
          <w:rFonts w:ascii="Times New Roman" w:hAnsi="Times New Roman" w:cs="Times New Roman"/>
          <w:color w:val="000000"/>
        </w:rPr>
        <w:t xml:space="preserve"> </w:t>
      </w:r>
      <w:r w:rsidRPr="00A245DA">
        <w:rPr>
          <w:rFonts w:ascii="Times New Roman" w:hAnsi="Times New Roman" w:cs="Times New Roman"/>
          <w:color w:val="000000"/>
          <w:u w:val="single"/>
        </w:rPr>
        <w:t>„Teaduse ja kõrghariduse rahvusvahelistumine, mobiilsuse ja järelkasvu toetamine“</w:t>
      </w:r>
      <w:r w:rsidRPr="00A245DA">
        <w:rPr>
          <w:rFonts w:ascii="Times New Roman" w:hAnsi="Times New Roman" w:cs="Times New Roman"/>
        </w:rPr>
        <w:t xml:space="preserve"> raames</w:t>
      </w:r>
      <w:r w:rsidRPr="00A245DA">
        <w:rPr>
          <w:rFonts w:ascii="Times New Roman" w:hAnsi="Times New Roman" w:cs="Times New Roman"/>
          <w:color w:val="000000"/>
        </w:rPr>
        <w:t xml:space="preserve"> nähakse ette</w:t>
      </w:r>
      <w:r w:rsidRPr="00A245DA">
        <w:rPr>
          <w:rFonts w:ascii="Times New Roman" w:hAnsi="Times New Roman" w:cs="Times New Roman"/>
          <w:b/>
          <w:color w:val="000000"/>
        </w:rPr>
        <w:t xml:space="preserve"> </w:t>
      </w:r>
      <w:r w:rsidRPr="00A245DA">
        <w:rPr>
          <w:rFonts w:ascii="Times New Roman" w:hAnsi="Times New Roman" w:cs="Times New Roman"/>
          <w:color w:val="000000"/>
        </w:rPr>
        <w:t>nt mobiilsustoetused üliõpilastele ja teadlastele</w:t>
      </w:r>
      <w:r w:rsidRPr="00A245DA">
        <w:rPr>
          <w:rFonts w:ascii="Times New Roman" w:hAnsi="Times New Roman" w:cs="Times New Roman"/>
        </w:rPr>
        <w:t>. Toetatakse tippteadlaste Eestisse toomist</w:t>
      </w:r>
      <w:r w:rsidRPr="00A245DA">
        <w:rPr>
          <w:rFonts w:ascii="Times New Roman" w:hAnsi="Times New Roman" w:cs="Times New Roman"/>
          <w:color w:val="000000"/>
        </w:rPr>
        <w:t xml:space="preserve"> ning nende uurimisgrupp</w:t>
      </w:r>
      <w:r w:rsidRPr="00A245DA">
        <w:rPr>
          <w:rFonts w:ascii="Times New Roman" w:hAnsi="Times New Roman" w:cs="Times New Roman"/>
        </w:rPr>
        <w:t>e. Lisaks toetatakse Eesti osalemist</w:t>
      </w:r>
      <w:r w:rsidRPr="00A245DA">
        <w:rPr>
          <w:rFonts w:ascii="Times New Roman" w:hAnsi="Times New Roman" w:cs="Times New Roman"/>
          <w:color w:val="000000"/>
        </w:rPr>
        <w:t xml:space="preserve"> Euroopa Teadusruumi, Innovatiivse Liidu ja Horisont 2020 programmilistes algatustes ja teistes par</w:t>
      </w:r>
      <w:r w:rsidRPr="00A245DA">
        <w:rPr>
          <w:rFonts w:ascii="Times New Roman" w:hAnsi="Times New Roman" w:cs="Times New Roman"/>
        </w:rPr>
        <w:t xml:space="preserve">tnerlustes </w:t>
      </w:r>
      <w:r w:rsidRPr="00A245DA">
        <w:rPr>
          <w:rFonts w:ascii="Times New Roman" w:hAnsi="Times New Roman" w:cs="Times New Roman"/>
          <w:color w:val="000000"/>
        </w:rPr>
        <w:t>(sh ERA õppetoolid,  ERA-NET Cofund, EIT</w:t>
      </w:r>
      <w:r w:rsidRPr="00A245DA">
        <w:rPr>
          <w:rFonts w:ascii="Times New Roman" w:hAnsi="Times New Roman" w:cs="Times New Roman"/>
        </w:rPr>
        <w:t xml:space="preserve">), </w:t>
      </w:r>
      <w:r w:rsidRPr="00A245DA">
        <w:rPr>
          <w:rFonts w:ascii="Times New Roman" w:hAnsi="Times New Roman" w:cs="Times New Roman"/>
          <w:color w:val="000000"/>
        </w:rPr>
        <w:t>teaduse ja kõrghariduse rahvusvaheli</w:t>
      </w:r>
      <w:r w:rsidRPr="00A245DA">
        <w:rPr>
          <w:rFonts w:ascii="Times New Roman" w:hAnsi="Times New Roman" w:cs="Times New Roman"/>
        </w:rPr>
        <w:t>st</w:t>
      </w:r>
      <w:r w:rsidRPr="00A245DA">
        <w:rPr>
          <w:rFonts w:ascii="Times New Roman" w:hAnsi="Times New Roman" w:cs="Times New Roman"/>
          <w:color w:val="000000"/>
        </w:rPr>
        <w:t xml:space="preserve"> turundus</w:t>
      </w:r>
      <w:r w:rsidRPr="00A245DA">
        <w:rPr>
          <w:rFonts w:ascii="Times New Roman" w:hAnsi="Times New Roman" w:cs="Times New Roman"/>
        </w:rPr>
        <w:t>t.</w:t>
      </w:r>
      <w:r w:rsidR="00D01E3E" w:rsidRPr="00A245DA">
        <w:rPr>
          <w:rFonts w:ascii="Times New Roman" w:hAnsi="Times New Roman" w:cs="Times New Roman"/>
        </w:rPr>
        <w:t xml:space="preserve"> ASTRA abil on võimalik toetada eelkõige õppejõudude mobiilsust ja välisõppejõudude kaasamist, mida teised meetmed ei toeta.</w:t>
      </w:r>
    </w:p>
    <w:p w14:paraId="07538280" w14:textId="19FD0D63" w:rsidR="00D2527E" w:rsidRPr="00A245DA" w:rsidRDefault="005443F5" w:rsidP="005443F5">
      <w:pPr>
        <w:pStyle w:val="NoSpacing"/>
        <w:tabs>
          <w:tab w:val="left" w:pos="1830"/>
        </w:tabs>
        <w:jc w:val="both"/>
        <w:rPr>
          <w:rFonts w:ascii="Times New Roman" w:hAnsi="Times New Roman" w:cs="Times New Roman"/>
          <w:highlight w:val="yellow"/>
        </w:rPr>
      </w:pPr>
      <w:r w:rsidRPr="00A245DA">
        <w:rPr>
          <w:rFonts w:ascii="Times New Roman" w:hAnsi="Times New Roman" w:cs="Times New Roman"/>
        </w:rPr>
        <w:tab/>
      </w:r>
    </w:p>
    <w:p w14:paraId="213E000D" w14:textId="306402AC" w:rsidR="00D2527E" w:rsidRPr="00A245DA" w:rsidRDefault="00D2527E" w:rsidP="00D2527E">
      <w:pPr>
        <w:pStyle w:val="NoSpacing"/>
        <w:jc w:val="both"/>
        <w:rPr>
          <w:rFonts w:ascii="Times New Roman" w:hAnsi="Times New Roman" w:cs="Times New Roman"/>
        </w:rPr>
      </w:pPr>
      <w:r w:rsidRPr="00A245DA">
        <w:rPr>
          <w:rFonts w:ascii="Times New Roman" w:hAnsi="Times New Roman" w:cs="Times New Roman"/>
        </w:rPr>
        <w:t xml:space="preserve">Meetme „TA&amp;I süsteemi kohaliku sotsiaalmajandusliku mõju suurendamine ja nutikas spetsialiseerumine kasvualade arendamiseks“ tegevus </w:t>
      </w:r>
      <w:r w:rsidRPr="00A245DA">
        <w:rPr>
          <w:rFonts w:ascii="Times New Roman" w:hAnsi="Times New Roman" w:cs="Times New Roman"/>
          <w:u w:val="single"/>
        </w:rPr>
        <w:t>„TA programm nutika spetsialiseerumise kasvuvaldkondades“</w:t>
      </w:r>
      <w:r w:rsidRPr="00A245DA">
        <w:rPr>
          <w:rFonts w:ascii="Times New Roman" w:hAnsi="Times New Roman" w:cs="Times New Roman"/>
        </w:rPr>
        <w:t xml:space="preserve"> keskendub otseselt nutika spetsialiseerumise kasvualade rakendusuuringute toetamisele. Toetatakse kasvuvaldkondades </w:t>
      </w:r>
      <w:r w:rsidR="002B20BB" w:rsidRPr="00A245DA">
        <w:rPr>
          <w:rFonts w:ascii="Times New Roman" w:hAnsi="Times New Roman" w:cs="Times New Roman"/>
        </w:rPr>
        <w:t>kõrg</w:t>
      </w:r>
      <w:r w:rsidRPr="00A245DA">
        <w:rPr>
          <w:rFonts w:ascii="Times New Roman" w:hAnsi="Times New Roman" w:cs="Times New Roman"/>
        </w:rPr>
        <w:t xml:space="preserve">koolide ja </w:t>
      </w:r>
      <w:r w:rsidR="0039251C" w:rsidRPr="00A245DA">
        <w:rPr>
          <w:rFonts w:ascii="Times New Roman" w:hAnsi="Times New Roman" w:cs="Times New Roman"/>
        </w:rPr>
        <w:t>teadus- ja arendus</w:t>
      </w:r>
      <w:r w:rsidRPr="00A245DA">
        <w:rPr>
          <w:rFonts w:ascii="Times New Roman" w:hAnsi="Times New Roman" w:cs="Times New Roman"/>
        </w:rPr>
        <w:t xml:space="preserve">asutuste koostööd </w:t>
      </w:r>
      <w:r w:rsidRPr="00A245DA">
        <w:rPr>
          <w:rFonts w:ascii="Times New Roman" w:hAnsi="Times New Roman" w:cs="Times New Roman"/>
        </w:rPr>
        <w:lastRenderedPageBreak/>
        <w:t xml:space="preserve">ettevõtetega suure lisandväärtusega toodete ja teenuste arendamisel ning rakendusuuringute läbiviimist. Rahastatakse teadusasutusi, ülikoole ja rakenduskõrgkoole ettevõtjatele vajalike uuringute ja tootearenduse läbiviimiseks. Lisaks võib ette näha kasvualade spetsiifilisi toetusmeetmeid, mis kujundatakse erilahendustena vastavalt kasvualade vajadustele. </w:t>
      </w:r>
      <w:r w:rsidR="00D01E3E" w:rsidRPr="00A245DA">
        <w:rPr>
          <w:rFonts w:ascii="Times New Roman" w:hAnsi="Times New Roman" w:cs="Times New Roman"/>
        </w:rPr>
        <w:t xml:space="preserve">Asutustele toetuse andmise eelduseks on ettevõtjate poolne projekti rahaline kaasfinantseering. </w:t>
      </w:r>
      <w:r w:rsidRPr="00A245DA">
        <w:rPr>
          <w:rFonts w:ascii="Times New Roman" w:hAnsi="Times New Roman" w:cs="Times New Roman"/>
        </w:rPr>
        <w:t xml:space="preserve">Võrreldes ASTRA-ga on programm märksa kitsama fookusega, keskendudes vaid kasvualadele ja rakendusuuringutele. ASTRA raames ei ole tegevused kitsendatud ning on võimalik arendada ettevõtluskoostööd ühe võimaliku tegevusena ja laiemalt, mitte vaid nutika spetsialiseerumise ja rakendusuuringute kaudu. </w:t>
      </w:r>
      <w:r w:rsidR="00E42F0F" w:rsidRPr="00A245DA">
        <w:rPr>
          <w:rFonts w:ascii="Times New Roman" w:hAnsi="Times New Roman" w:cs="Times New Roman"/>
        </w:rPr>
        <w:t>ASTRA-st ei toetata rakendusuuringute endi läbiviimist, vaid asutuste ja ettevõtete vahelist koostööd soodustavate tingimuste loomist.</w:t>
      </w:r>
    </w:p>
    <w:p w14:paraId="1105C142" w14:textId="7ECCCC66" w:rsidR="00D2527E" w:rsidRPr="00A245DA" w:rsidRDefault="005443F5" w:rsidP="005443F5">
      <w:pPr>
        <w:pStyle w:val="NoSpacing"/>
        <w:tabs>
          <w:tab w:val="left" w:pos="7410"/>
        </w:tabs>
        <w:jc w:val="both"/>
        <w:rPr>
          <w:rFonts w:ascii="Times New Roman" w:hAnsi="Times New Roman" w:cs="Times New Roman"/>
        </w:rPr>
      </w:pPr>
      <w:r w:rsidRPr="00A245DA">
        <w:rPr>
          <w:rFonts w:ascii="Times New Roman" w:hAnsi="Times New Roman" w:cs="Times New Roman"/>
        </w:rPr>
        <w:tab/>
      </w:r>
    </w:p>
    <w:p w14:paraId="253641E0" w14:textId="1C0BAD31" w:rsidR="00D01E3E" w:rsidRPr="00A245DA" w:rsidRDefault="00D01E3E" w:rsidP="00D01E3E">
      <w:pPr>
        <w:pStyle w:val="NoSpacing"/>
        <w:jc w:val="both"/>
        <w:rPr>
          <w:rFonts w:ascii="Times New Roman" w:hAnsi="Times New Roman" w:cs="Times New Roman"/>
        </w:rPr>
      </w:pPr>
      <w:r w:rsidRPr="00A245DA">
        <w:rPr>
          <w:rFonts w:ascii="Times New Roman" w:hAnsi="Times New Roman" w:cs="Times New Roman"/>
        </w:rPr>
        <w:t xml:space="preserve">Meetme „TA&amp;I süsteemi kohaliku sotsiaalmajandusliku mõju suurendamine ja nutikas spetsialiseerumine kasvualade arendamiseks“ tegevuse </w:t>
      </w:r>
      <w:r w:rsidRPr="00A245DA">
        <w:rPr>
          <w:rFonts w:ascii="Times New Roman" w:hAnsi="Times New Roman" w:cs="Times New Roman"/>
          <w:u w:val="single"/>
        </w:rPr>
        <w:t>„Kõrghariduse erialastipendiumid nutika spetsialiseerumise kasvuvaldkondades“</w:t>
      </w:r>
      <w:r w:rsidRPr="00A245DA">
        <w:rPr>
          <w:rFonts w:ascii="Times New Roman" w:hAnsi="Times New Roman" w:cs="Times New Roman"/>
        </w:rPr>
        <w:t xml:space="preserve"> eesmärgiks on üliõpilaste täiskoormusega õppima motiveerimine ettevõtluse jaoks perspektiivikates valdkondades. Toetatavaks tegevuseks on nutika spetsialiseerumise valdkondadega seotud õppekavadel üliõpilastele erialastipendiumite maksmine. Seetõttu ei ole ASTRA-st stipendiumite maksmine abikõlblik</w:t>
      </w:r>
      <w:r w:rsidR="005443F5" w:rsidRPr="00A245DA">
        <w:rPr>
          <w:rFonts w:ascii="Times New Roman" w:hAnsi="Times New Roman" w:cs="Times New Roman"/>
        </w:rPr>
        <w:t>, välja arvatud doktoriõppe toetamise tegevuste raames</w:t>
      </w:r>
      <w:r w:rsidRPr="00A245DA">
        <w:rPr>
          <w:rFonts w:ascii="Times New Roman" w:hAnsi="Times New Roman" w:cs="Times New Roman"/>
        </w:rPr>
        <w:t>.</w:t>
      </w:r>
    </w:p>
    <w:p w14:paraId="2D89F329" w14:textId="77777777" w:rsidR="00D01E3E" w:rsidRPr="00A245DA" w:rsidRDefault="00D01E3E" w:rsidP="00D01E3E">
      <w:pPr>
        <w:pStyle w:val="NoSpacing"/>
        <w:jc w:val="both"/>
        <w:rPr>
          <w:rFonts w:ascii="Times New Roman" w:hAnsi="Times New Roman" w:cs="Times New Roman"/>
        </w:rPr>
      </w:pPr>
    </w:p>
    <w:p w14:paraId="20423BFF" w14:textId="5754EE86" w:rsidR="00D01E3E" w:rsidRPr="00A245DA" w:rsidRDefault="00615C7D" w:rsidP="00D01E3E">
      <w:pPr>
        <w:pStyle w:val="NoSpacing"/>
        <w:jc w:val="both"/>
        <w:rPr>
          <w:rFonts w:ascii="Times New Roman" w:hAnsi="Times New Roman" w:cs="Times New Roman"/>
        </w:rPr>
      </w:pPr>
      <w:r w:rsidRPr="00A245DA">
        <w:rPr>
          <w:rFonts w:ascii="Times New Roman" w:hAnsi="Times New Roman" w:cs="Times New Roman"/>
        </w:rPr>
        <w:t>Tegevuses</w:t>
      </w:r>
      <w:r w:rsidR="00D01E3E" w:rsidRPr="00A245DA">
        <w:rPr>
          <w:rFonts w:ascii="Times New Roman" w:hAnsi="Times New Roman" w:cs="Times New Roman"/>
        </w:rPr>
        <w:t xml:space="preserve"> </w:t>
      </w:r>
      <w:r w:rsidR="00D01E3E" w:rsidRPr="00A245DA">
        <w:rPr>
          <w:rFonts w:ascii="Times New Roman" w:hAnsi="Times New Roman" w:cs="Times New Roman"/>
          <w:u w:val="single"/>
        </w:rPr>
        <w:t>„Õppe seostamine tööturu vajadustega“</w:t>
      </w:r>
      <w:r w:rsidR="00D01E3E" w:rsidRPr="00A245DA">
        <w:rPr>
          <w:rFonts w:ascii="Times New Roman" w:hAnsi="Times New Roman" w:cs="Times New Roman"/>
        </w:rPr>
        <w:t xml:space="preserve"> nähakse ette tegevused praktikasüsteemi arendamiseks ja ettevõtlikkuse ja ettevõtlusõppe süsteemseks arendamiseks. </w:t>
      </w:r>
      <w:r w:rsidRPr="00A245DA">
        <w:rPr>
          <w:rFonts w:ascii="Times New Roman" w:hAnsi="Times New Roman" w:cs="Times New Roman"/>
        </w:rPr>
        <w:t>Tegevusest</w:t>
      </w:r>
      <w:r w:rsidR="00D01E3E" w:rsidRPr="00A245DA">
        <w:rPr>
          <w:rFonts w:ascii="Times New Roman" w:hAnsi="Times New Roman" w:cs="Times New Roman"/>
        </w:rPr>
        <w:t xml:space="preserve"> </w:t>
      </w:r>
      <w:r w:rsidR="00D01E3E" w:rsidRPr="00A245DA">
        <w:rPr>
          <w:rFonts w:ascii="Times New Roman" w:hAnsi="Times New Roman" w:cs="Times New Roman"/>
          <w:u w:val="single"/>
        </w:rPr>
        <w:t>„Õpetajate, koolijuhtide ja noorsootöötajate professionaalse arengu toetamine“</w:t>
      </w:r>
      <w:r w:rsidR="00D01E3E" w:rsidRPr="00A245DA">
        <w:rPr>
          <w:rFonts w:ascii="Times New Roman" w:hAnsi="Times New Roman" w:cs="Times New Roman"/>
        </w:rPr>
        <w:t xml:space="preserve"> toetatakse õpetajate koolitusi, sh õppejõudude didaktikaalaseid koolitusi.</w:t>
      </w:r>
      <w:r w:rsidR="007A3EEB" w:rsidRPr="00A245DA">
        <w:rPr>
          <w:rFonts w:ascii="Times New Roman" w:hAnsi="Times New Roman" w:cs="Times New Roman"/>
        </w:rPr>
        <w:t xml:space="preserve"> ASTRA-st toetuse andmisel välditakse vastavate tegevuste toetamise dubleerimist.</w:t>
      </w:r>
    </w:p>
    <w:p w14:paraId="6658E09D" w14:textId="60042494" w:rsidR="00A03DC7" w:rsidRPr="00A245DA" w:rsidRDefault="007A3EEB" w:rsidP="007A3EEB">
      <w:pPr>
        <w:pStyle w:val="NoSpacing"/>
        <w:tabs>
          <w:tab w:val="left" w:pos="6460"/>
        </w:tabs>
        <w:rPr>
          <w:rFonts w:ascii="Times New Roman" w:hAnsi="Times New Roman" w:cs="Times New Roman"/>
        </w:rPr>
      </w:pPr>
      <w:r w:rsidRPr="00A245DA">
        <w:rPr>
          <w:rFonts w:ascii="Times New Roman" w:hAnsi="Times New Roman" w:cs="Times New Roman"/>
        </w:rPr>
        <w:tab/>
      </w:r>
    </w:p>
    <w:p w14:paraId="5A2FC200" w14:textId="258139E2" w:rsidR="00F27EC9" w:rsidRPr="00A245DA" w:rsidRDefault="00F27EC9" w:rsidP="00F27EC9">
      <w:pPr>
        <w:pStyle w:val="NoSpacing"/>
        <w:jc w:val="both"/>
        <w:rPr>
          <w:rFonts w:ascii="Times New Roman" w:hAnsi="Times New Roman" w:cs="Times New Roman"/>
        </w:rPr>
      </w:pPr>
      <w:r w:rsidRPr="00A245DA">
        <w:rPr>
          <w:rFonts w:ascii="Times New Roman" w:hAnsi="Times New Roman" w:cs="Times New Roman"/>
        </w:rPr>
        <w:t xml:space="preserve">Eelnõu  ja seletuskirja on koostanud Haridus- ja Teadusministeeriumi teadusosakonna peaekspert Hella Lood (7350 215, </w:t>
      </w:r>
      <w:hyperlink r:id="rId11" w:history="1">
        <w:r w:rsidRPr="00A245DA">
          <w:rPr>
            <w:rStyle w:val="Hyperlink"/>
            <w:rFonts w:ascii="Times New Roman" w:hAnsi="Times New Roman" w:cs="Times New Roman"/>
            <w:color w:val="auto"/>
          </w:rPr>
          <w:t>Hella.Lood@hm.ee</w:t>
        </w:r>
      </w:hyperlink>
      <w:r w:rsidRPr="00A245DA">
        <w:rPr>
          <w:rFonts w:ascii="Times New Roman" w:hAnsi="Times New Roman" w:cs="Times New Roman"/>
        </w:rPr>
        <w:t xml:space="preserve">), kõrgharidusosakonna peaekspert Sigrid Vaher (7350 263, </w:t>
      </w:r>
      <w:hyperlink r:id="rId12" w:history="1">
        <w:r w:rsidRPr="00A245DA">
          <w:rPr>
            <w:rStyle w:val="Hyperlink"/>
            <w:rFonts w:ascii="Times New Roman" w:hAnsi="Times New Roman" w:cs="Times New Roman"/>
            <w:color w:val="auto"/>
          </w:rPr>
          <w:t>Sigrid.Vaher@hm.ee</w:t>
        </w:r>
      </w:hyperlink>
      <w:r w:rsidRPr="00A245DA">
        <w:rPr>
          <w:rFonts w:ascii="Times New Roman" w:hAnsi="Times New Roman" w:cs="Times New Roman"/>
        </w:rPr>
        <w:t xml:space="preserve">), tõukefondide osakonna peaekspert Anastassia Vrabi (7350 230, </w:t>
      </w:r>
      <w:hyperlink r:id="rId13" w:history="1">
        <w:r w:rsidRPr="00A245DA">
          <w:rPr>
            <w:rStyle w:val="Hyperlink"/>
            <w:rFonts w:ascii="Times New Roman" w:hAnsi="Times New Roman" w:cs="Times New Roman"/>
            <w:color w:val="auto"/>
          </w:rPr>
          <w:t>Anastassia.Vrabi@hm.ee</w:t>
        </w:r>
      </w:hyperlink>
      <w:r w:rsidRPr="00A245DA">
        <w:rPr>
          <w:rFonts w:ascii="Times New Roman" w:hAnsi="Times New Roman" w:cs="Times New Roman"/>
        </w:rPr>
        <w:t xml:space="preserve">) ja tõukefondide osakonna peaekspert Jaak Kask (7350 319, </w:t>
      </w:r>
      <w:hyperlink r:id="rId14" w:history="1">
        <w:r w:rsidRPr="00A245DA">
          <w:rPr>
            <w:rStyle w:val="Hyperlink"/>
            <w:rFonts w:ascii="Times New Roman" w:hAnsi="Times New Roman" w:cs="Times New Roman"/>
            <w:color w:val="auto"/>
          </w:rPr>
          <w:t>Jaak.Kask@hm.ee</w:t>
        </w:r>
      </w:hyperlink>
      <w:r w:rsidRPr="00A245DA">
        <w:rPr>
          <w:rFonts w:ascii="Times New Roman" w:hAnsi="Times New Roman" w:cs="Times New Roman"/>
        </w:rPr>
        <w:t xml:space="preserve">). ASTRA toetuse andmise tingimuste väljatöötamisse on kaasatud olnud ka toetuse </w:t>
      </w:r>
      <w:r w:rsidR="00600EF5" w:rsidRPr="00A245DA">
        <w:rPr>
          <w:rFonts w:ascii="Times New Roman" w:hAnsi="Times New Roman" w:cs="Times New Roman"/>
        </w:rPr>
        <w:t xml:space="preserve">taotlejate ringi </w:t>
      </w:r>
      <w:r w:rsidRPr="00A245DA">
        <w:rPr>
          <w:rFonts w:ascii="Times New Roman" w:hAnsi="Times New Roman" w:cs="Times New Roman"/>
        </w:rPr>
        <w:t>kuuluvad teadus- ja arendusasutused</w:t>
      </w:r>
      <w:r w:rsidR="00600EF5" w:rsidRPr="00A245DA">
        <w:rPr>
          <w:rFonts w:ascii="Times New Roman" w:hAnsi="Times New Roman" w:cs="Times New Roman"/>
        </w:rPr>
        <w:t xml:space="preserve"> ning kõrgkoolid</w:t>
      </w:r>
      <w:r w:rsidRPr="00A245DA">
        <w:rPr>
          <w:rFonts w:ascii="Times New Roman" w:hAnsi="Times New Roman" w:cs="Times New Roman"/>
        </w:rPr>
        <w:t xml:space="preserve">, kes on andnud </w:t>
      </w:r>
      <w:r w:rsidR="00600EF5" w:rsidRPr="00A245DA">
        <w:rPr>
          <w:rFonts w:ascii="Times New Roman" w:hAnsi="Times New Roman" w:cs="Times New Roman"/>
        </w:rPr>
        <w:t xml:space="preserve">toetuse andmise </w:t>
      </w:r>
      <w:r w:rsidRPr="00A245DA">
        <w:rPr>
          <w:rFonts w:ascii="Times New Roman" w:hAnsi="Times New Roman" w:cs="Times New Roman"/>
        </w:rPr>
        <w:t>tingimuste kohta tagasisidet. Tagasisidet ja ettepanekuid on kogutud nii kirjalikult kui erinevate ürituste raames (Haridus- ja Teadusministeeriumi 19.09.2014 korraldatud seminar</w:t>
      </w:r>
      <w:r w:rsidR="00600EF5" w:rsidRPr="00A245DA">
        <w:rPr>
          <w:rFonts w:ascii="Times New Roman" w:hAnsi="Times New Roman" w:cs="Times New Roman"/>
        </w:rPr>
        <w:t>,</w:t>
      </w:r>
      <w:r w:rsidRPr="00A245DA">
        <w:rPr>
          <w:rFonts w:ascii="Times New Roman" w:hAnsi="Times New Roman" w:cs="Times New Roman"/>
        </w:rPr>
        <w:t xml:space="preserve"> 17.11.2014 </w:t>
      </w:r>
      <w:r w:rsidR="00600EF5" w:rsidRPr="00A245DA">
        <w:rPr>
          <w:rFonts w:ascii="Times New Roman" w:hAnsi="Times New Roman" w:cs="Times New Roman"/>
        </w:rPr>
        <w:t>toimunud</w:t>
      </w:r>
      <w:r w:rsidRPr="00A245DA">
        <w:rPr>
          <w:rFonts w:ascii="Times New Roman" w:hAnsi="Times New Roman" w:cs="Times New Roman"/>
        </w:rPr>
        <w:t xml:space="preserve"> infopäev). Samuti on toetuse tingimuste väljatöötamisse kaasatud mitmeid teisi koostööpartnereid nagu SA Archimedes (rakendusüksus), </w:t>
      </w:r>
      <w:r w:rsidR="003C135F" w:rsidRPr="00A245DA">
        <w:rPr>
          <w:rFonts w:ascii="Times New Roman" w:hAnsi="Times New Roman" w:cs="Times New Roman"/>
        </w:rPr>
        <w:t xml:space="preserve">SA Eesti Teadusagentuur, </w:t>
      </w:r>
      <w:r w:rsidRPr="00A245DA">
        <w:rPr>
          <w:rFonts w:ascii="Times New Roman" w:hAnsi="Times New Roman" w:cs="Times New Roman"/>
        </w:rPr>
        <w:t xml:space="preserve">Rektorite Nõukogu ja Rakenduskõrgkoolide Rektorite Nõukogu. </w:t>
      </w:r>
    </w:p>
    <w:p w14:paraId="6658E0A0" w14:textId="77777777" w:rsidR="004B6EE6" w:rsidRPr="00A245DA" w:rsidRDefault="004B6EE6" w:rsidP="00B629C6">
      <w:pPr>
        <w:pStyle w:val="NoSpacing"/>
        <w:rPr>
          <w:rFonts w:ascii="Times New Roman" w:hAnsi="Times New Roman" w:cs="Times New Roman"/>
        </w:rPr>
      </w:pPr>
    </w:p>
    <w:p w14:paraId="6658E0A3" w14:textId="77777777" w:rsidR="00D8377C" w:rsidRPr="00A245DA" w:rsidRDefault="00D8377C" w:rsidP="00D8377C">
      <w:pPr>
        <w:pStyle w:val="NoSpacing"/>
        <w:rPr>
          <w:rFonts w:ascii="Times New Roman" w:hAnsi="Times New Roman" w:cs="Times New Roman"/>
        </w:rPr>
      </w:pPr>
    </w:p>
    <w:p w14:paraId="6658E0A5" w14:textId="77777777" w:rsidR="00D8377C" w:rsidRPr="00A245DA" w:rsidRDefault="00D8377C" w:rsidP="00D8377C">
      <w:pPr>
        <w:pStyle w:val="NoSpacing"/>
        <w:rPr>
          <w:rFonts w:ascii="Times New Roman" w:hAnsi="Times New Roman" w:cs="Times New Roman"/>
          <w:b/>
        </w:rPr>
      </w:pPr>
      <w:r w:rsidRPr="00A245DA">
        <w:rPr>
          <w:rFonts w:ascii="Times New Roman" w:hAnsi="Times New Roman" w:cs="Times New Roman"/>
          <w:b/>
        </w:rPr>
        <w:t>II EELNÕU SISU JA VÕRDLEV ANALÜÜS</w:t>
      </w:r>
    </w:p>
    <w:p w14:paraId="6658E0A6" w14:textId="77777777" w:rsidR="00D8377C" w:rsidRPr="00A245DA" w:rsidRDefault="00D8377C" w:rsidP="00D8377C">
      <w:pPr>
        <w:pStyle w:val="NoSpacing"/>
        <w:rPr>
          <w:rFonts w:ascii="Times New Roman" w:hAnsi="Times New Roman" w:cs="Times New Roman"/>
        </w:rPr>
      </w:pPr>
    </w:p>
    <w:p w14:paraId="6658E0A7" w14:textId="1BF6E72D" w:rsidR="00F95850" w:rsidRPr="00A245DA" w:rsidRDefault="00F95850" w:rsidP="00F95850">
      <w:pPr>
        <w:pStyle w:val="NoSpacing"/>
        <w:rPr>
          <w:rFonts w:ascii="Times New Roman" w:hAnsi="Times New Roman" w:cs="Times New Roman"/>
        </w:rPr>
      </w:pPr>
      <w:r w:rsidRPr="00A245DA">
        <w:rPr>
          <w:rFonts w:ascii="Times New Roman" w:eastAsia="Times New Roman" w:hAnsi="Times New Roman" w:cs="Times New Roman"/>
        </w:rPr>
        <w:t xml:space="preserve"> </w:t>
      </w:r>
      <w:r w:rsidRPr="00A245DA">
        <w:rPr>
          <w:rFonts w:ascii="Times New Roman" w:hAnsi="Times New Roman" w:cs="Times New Roman"/>
        </w:rPr>
        <w:t xml:space="preserve">Eelnõu koosneb kaheksast peatükist ja </w:t>
      </w:r>
      <w:r w:rsidR="00D01E3E" w:rsidRPr="00A245DA">
        <w:rPr>
          <w:rFonts w:ascii="Times New Roman" w:hAnsi="Times New Roman" w:cs="Times New Roman"/>
        </w:rPr>
        <w:t>30</w:t>
      </w:r>
      <w:r w:rsidRPr="00A245DA">
        <w:rPr>
          <w:rFonts w:ascii="Times New Roman" w:hAnsi="Times New Roman" w:cs="Times New Roman"/>
        </w:rPr>
        <w:t>-st paragrahvist. Peatükid jagunevad järgmiselt:</w:t>
      </w:r>
    </w:p>
    <w:p w14:paraId="6658E0A8" w14:textId="77777777" w:rsidR="00F95850" w:rsidRPr="00A245DA" w:rsidRDefault="00F95850" w:rsidP="00F95850">
      <w:pPr>
        <w:pStyle w:val="NoSpacing"/>
        <w:numPr>
          <w:ilvl w:val="0"/>
          <w:numId w:val="3"/>
        </w:numPr>
        <w:rPr>
          <w:rFonts w:ascii="Times New Roman" w:hAnsi="Times New Roman" w:cs="Times New Roman"/>
        </w:rPr>
      </w:pPr>
      <w:r w:rsidRPr="00A245DA">
        <w:rPr>
          <w:rFonts w:ascii="Times New Roman" w:hAnsi="Times New Roman" w:cs="Times New Roman"/>
        </w:rPr>
        <w:t>üldsätted;</w:t>
      </w:r>
    </w:p>
    <w:p w14:paraId="6658E0A9" w14:textId="77777777" w:rsidR="00F95850" w:rsidRPr="00A245DA" w:rsidRDefault="00F95850" w:rsidP="00F95850">
      <w:pPr>
        <w:pStyle w:val="NoSpacing"/>
        <w:numPr>
          <w:ilvl w:val="0"/>
          <w:numId w:val="3"/>
        </w:numPr>
        <w:rPr>
          <w:rFonts w:ascii="Times New Roman" w:hAnsi="Times New Roman" w:cs="Times New Roman"/>
        </w:rPr>
      </w:pPr>
      <w:r w:rsidRPr="00A245DA">
        <w:rPr>
          <w:rFonts w:ascii="Times New Roman" w:hAnsi="Times New Roman" w:cs="Times New Roman"/>
        </w:rPr>
        <w:t>toetatavad tegevused, kulude abikõlblikkus ja toetuse määr;</w:t>
      </w:r>
    </w:p>
    <w:p w14:paraId="30F215D6" w14:textId="4FA287E8" w:rsidR="002733B9" w:rsidRPr="00A245DA" w:rsidRDefault="002733B9" w:rsidP="00F95850">
      <w:pPr>
        <w:pStyle w:val="NoSpacing"/>
        <w:numPr>
          <w:ilvl w:val="0"/>
          <w:numId w:val="3"/>
        </w:numPr>
        <w:rPr>
          <w:rFonts w:ascii="Times New Roman" w:hAnsi="Times New Roman" w:cs="Times New Roman"/>
        </w:rPr>
      </w:pPr>
      <w:r w:rsidRPr="00A245DA">
        <w:rPr>
          <w:rFonts w:ascii="Times New Roman" w:hAnsi="Times New Roman" w:cs="Times New Roman"/>
        </w:rPr>
        <w:t>ettepaneku esitamine ja hindamine;</w:t>
      </w:r>
    </w:p>
    <w:p w14:paraId="6658E0AA" w14:textId="6E7F8F3E" w:rsidR="00F95850" w:rsidRPr="00A245DA" w:rsidRDefault="00F95850" w:rsidP="00F95850">
      <w:pPr>
        <w:pStyle w:val="NoSpacing"/>
        <w:numPr>
          <w:ilvl w:val="0"/>
          <w:numId w:val="3"/>
        </w:numPr>
        <w:rPr>
          <w:rFonts w:ascii="Times New Roman" w:hAnsi="Times New Roman" w:cs="Times New Roman"/>
        </w:rPr>
      </w:pPr>
      <w:r w:rsidRPr="00A245DA">
        <w:rPr>
          <w:rFonts w:ascii="Times New Roman" w:hAnsi="Times New Roman" w:cs="Times New Roman"/>
        </w:rPr>
        <w:t>investeeringute kava koostamine</w:t>
      </w:r>
      <w:r w:rsidR="0039386A" w:rsidRPr="00A245DA">
        <w:rPr>
          <w:rFonts w:ascii="Times New Roman" w:hAnsi="Times New Roman" w:cs="Times New Roman"/>
        </w:rPr>
        <w:t>, muutmine ja meetme tegevuse vabade vahendite eraldamine</w:t>
      </w:r>
      <w:r w:rsidRPr="00A245DA">
        <w:rPr>
          <w:rFonts w:ascii="Times New Roman" w:hAnsi="Times New Roman" w:cs="Times New Roman"/>
        </w:rPr>
        <w:t>;</w:t>
      </w:r>
    </w:p>
    <w:p w14:paraId="6658E0AB" w14:textId="77777777" w:rsidR="00F95850" w:rsidRPr="00A245DA" w:rsidRDefault="00F95850" w:rsidP="00F95850">
      <w:pPr>
        <w:pStyle w:val="NoSpacing"/>
        <w:numPr>
          <w:ilvl w:val="0"/>
          <w:numId w:val="3"/>
        </w:numPr>
        <w:rPr>
          <w:rFonts w:ascii="Times New Roman" w:hAnsi="Times New Roman" w:cs="Times New Roman"/>
        </w:rPr>
      </w:pPr>
      <w:r w:rsidRPr="00A245DA">
        <w:rPr>
          <w:rFonts w:ascii="Times New Roman" w:hAnsi="Times New Roman" w:cs="Times New Roman"/>
        </w:rPr>
        <w:t>toetuse taotlemine;</w:t>
      </w:r>
    </w:p>
    <w:p w14:paraId="6658E0AC" w14:textId="77777777" w:rsidR="00F95850" w:rsidRPr="00A245DA" w:rsidRDefault="00F95850" w:rsidP="00F95850">
      <w:pPr>
        <w:pStyle w:val="NoSpacing"/>
        <w:numPr>
          <w:ilvl w:val="0"/>
          <w:numId w:val="3"/>
        </w:numPr>
        <w:rPr>
          <w:rFonts w:ascii="Times New Roman" w:hAnsi="Times New Roman" w:cs="Times New Roman"/>
        </w:rPr>
      </w:pPr>
      <w:r w:rsidRPr="00A245DA">
        <w:rPr>
          <w:rFonts w:ascii="Times New Roman" w:hAnsi="Times New Roman" w:cs="Times New Roman"/>
        </w:rPr>
        <w:t>taotluste menetlemine;</w:t>
      </w:r>
    </w:p>
    <w:p w14:paraId="6658E0AE" w14:textId="77777777" w:rsidR="00F95850" w:rsidRPr="00A245DA" w:rsidRDefault="00F95850" w:rsidP="00F95850">
      <w:pPr>
        <w:pStyle w:val="NoSpacing"/>
        <w:numPr>
          <w:ilvl w:val="0"/>
          <w:numId w:val="3"/>
        </w:numPr>
        <w:rPr>
          <w:rFonts w:ascii="Times New Roman" w:hAnsi="Times New Roman" w:cs="Times New Roman"/>
        </w:rPr>
      </w:pPr>
      <w:r w:rsidRPr="00A245DA">
        <w:rPr>
          <w:rFonts w:ascii="Times New Roman" w:hAnsi="Times New Roman" w:cs="Times New Roman"/>
        </w:rPr>
        <w:t>aruannete esitamine ja toetuse maksmise tingimused;</w:t>
      </w:r>
    </w:p>
    <w:p w14:paraId="6658E0AF" w14:textId="645DE104" w:rsidR="00F95850" w:rsidRPr="00A245DA" w:rsidRDefault="00F95850" w:rsidP="00F95850">
      <w:pPr>
        <w:pStyle w:val="NoSpacing"/>
        <w:numPr>
          <w:ilvl w:val="0"/>
          <w:numId w:val="3"/>
        </w:numPr>
        <w:rPr>
          <w:rFonts w:ascii="Times New Roman" w:hAnsi="Times New Roman" w:cs="Times New Roman"/>
        </w:rPr>
      </w:pPr>
      <w:r w:rsidRPr="00A245DA">
        <w:rPr>
          <w:rFonts w:ascii="Times New Roman" w:hAnsi="Times New Roman" w:cs="Times New Roman"/>
        </w:rPr>
        <w:t>toetuse saaja, partneri ning rakendusüksuse õigused ja kohustused</w:t>
      </w:r>
      <w:r w:rsidR="0039386A" w:rsidRPr="00A245DA">
        <w:rPr>
          <w:rFonts w:ascii="Times New Roman" w:hAnsi="Times New Roman" w:cs="Times New Roman"/>
        </w:rPr>
        <w:t xml:space="preserve"> ning finantskorrektsioonid</w:t>
      </w:r>
      <w:r w:rsidRPr="00A245DA">
        <w:rPr>
          <w:rFonts w:ascii="Times New Roman" w:hAnsi="Times New Roman" w:cs="Times New Roman"/>
        </w:rPr>
        <w:t>.</w:t>
      </w:r>
    </w:p>
    <w:p w14:paraId="19FC342F" w14:textId="77777777" w:rsidR="007A3EEB" w:rsidRPr="00A245DA" w:rsidRDefault="007A3EEB" w:rsidP="007A3EEB">
      <w:pPr>
        <w:pStyle w:val="NoSpacing"/>
        <w:ind w:left="720"/>
        <w:rPr>
          <w:rFonts w:ascii="Times New Roman" w:hAnsi="Times New Roman" w:cs="Times New Roman"/>
        </w:rPr>
      </w:pPr>
    </w:p>
    <w:p w14:paraId="6658E0B1" w14:textId="77777777" w:rsidR="00F95850" w:rsidRPr="00A245DA" w:rsidRDefault="00F95850" w:rsidP="00F95850">
      <w:pPr>
        <w:pStyle w:val="NoSpacing"/>
        <w:rPr>
          <w:rFonts w:ascii="Times New Roman" w:hAnsi="Times New Roman" w:cs="Times New Roman"/>
          <w:bCs/>
        </w:rPr>
      </w:pPr>
      <w:r w:rsidRPr="00A245DA">
        <w:rPr>
          <w:rFonts w:ascii="Times New Roman" w:hAnsi="Times New Roman" w:cs="Times New Roman"/>
          <w:b/>
          <w:bCs/>
          <w:u w:val="single"/>
        </w:rPr>
        <w:t xml:space="preserve">1. </w:t>
      </w:r>
      <w:r w:rsidR="00DA0D2E" w:rsidRPr="00A245DA">
        <w:rPr>
          <w:rFonts w:ascii="Times New Roman" w:hAnsi="Times New Roman" w:cs="Times New Roman"/>
          <w:b/>
          <w:bCs/>
          <w:u w:val="single"/>
        </w:rPr>
        <w:t>peatükk Üldsätted</w:t>
      </w:r>
      <w:r w:rsidRPr="00A245DA">
        <w:rPr>
          <w:rFonts w:ascii="Times New Roman" w:hAnsi="Times New Roman" w:cs="Times New Roman"/>
          <w:bCs/>
        </w:rPr>
        <w:t xml:space="preserve"> </w:t>
      </w:r>
    </w:p>
    <w:p w14:paraId="6658E0B2" w14:textId="77777777" w:rsidR="00F95850" w:rsidRPr="00A245DA" w:rsidRDefault="00DA0D2E" w:rsidP="00D4228F">
      <w:pPr>
        <w:pStyle w:val="NoSpacing"/>
        <w:jc w:val="both"/>
        <w:rPr>
          <w:rFonts w:ascii="Times New Roman" w:hAnsi="Times New Roman" w:cs="Times New Roman"/>
        </w:rPr>
      </w:pPr>
      <w:r w:rsidRPr="00A245DA">
        <w:rPr>
          <w:rFonts w:ascii="Times New Roman" w:hAnsi="Times New Roman" w:cs="Times New Roman"/>
        </w:rPr>
        <w:t xml:space="preserve">Eelnõu 1. peatükis </w:t>
      </w:r>
      <w:r w:rsidR="00F95850" w:rsidRPr="00A245DA">
        <w:rPr>
          <w:rFonts w:ascii="Times New Roman" w:hAnsi="Times New Roman" w:cs="Times New Roman"/>
        </w:rPr>
        <w:t xml:space="preserve">kirjeldatakse määruse reguleerimisala, </w:t>
      </w:r>
      <w:r w:rsidR="00D4228F" w:rsidRPr="00A245DA">
        <w:rPr>
          <w:rFonts w:ascii="Times New Roman" w:hAnsi="Times New Roman" w:cs="Times New Roman"/>
        </w:rPr>
        <w:t xml:space="preserve">sätestatakse määruses ja selle rakendusaktides läbivalt kasutatavad terminid, kirjeldatakse </w:t>
      </w:r>
      <w:r w:rsidR="00F95850" w:rsidRPr="00A245DA">
        <w:rPr>
          <w:rFonts w:ascii="Times New Roman" w:hAnsi="Times New Roman" w:cs="Times New Roman"/>
        </w:rPr>
        <w:t xml:space="preserve">toetuse andmise eesmärki ja tulemusi, nimetatakse rakendusüksus ja </w:t>
      </w:r>
      <w:r w:rsidR="00DF1A11" w:rsidRPr="00A245DA">
        <w:rPr>
          <w:rFonts w:ascii="Times New Roman" w:hAnsi="Times New Roman" w:cs="Times New Roman"/>
        </w:rPr>
        <w:t>–asutus ning sätestatakse vaide</w:t>
      </w:r>
      <w:r w:rsidR="00F95850" w:rsidRPr="00A245DA">
        <w:rPr>
          <w:rFonts w:ascii="Times New Roman" w:hAnsi="Times New Roman" w:cs="Times New Roman"/>
        </w:rPr>
        <w:t xml:space="preserve"> esitamise kord.</w:t>
      </w:r>
    </w:p>
    <w:p w14:paraId="6658E0B3" w14:textId="77777777" w:rsidR="00376A61" w:rsidRPr="00A245DA" w:rsidRDefault="00376A61" w:rsidP="00D4228F">
      <w:pPr>
        <w:pStyle w:val="NoSpacing"/>
        <w:jc w:val="both"/>
        <w:rPr>
          <w:rFonts w:ascii="Times New Roman" w:hAnsi="Times New Roman" w:cs="Times New Roman"/>
        </w:rPr>
      </w:pPr>
    </w:p>
    <w:p w14:paraId="49CC3AE8" w14:textId="69965C74" w:rsidR="00CF16B5" w:rsidRPr="00A245DA" w:rsidRDefault="00DF1A11" w:rsidP="00D4228F">
      <w:pPr>
        <w:pStyle w:val="NoSpacing"/>
        <w:jc w:val="both"/>
        <w:rPr>
          <w:rFonts w:ascii="Times New Roman" w:hAnsi="Times New Roman" w:cs="Times New Roman"/>
        </w:rPr>
      </w:pPr>
      <w:r w:rsidRPr="00A245DA">
        <w:rPr>
          <w:rFonts w:ascii="Times New Roman" w:hAnsi="Times New Roman" w:cs="Times New Roman"/>
          <w:u w:val="single"/>
        </w:rPr>
        <w:lastRenderedPageBreak/>
        <w:t>§ 1</w:t>
      </w:r>
      <w:r w:rsidRPr="00A245DA">
        <w:rPr>
          <w:rFonts w:ascii="Times New Roman" w:hAnsi="Times New Roman" w:cs="Times New Roman"/>
        </w:rPr>
        <w:t xml:space="preserve"> lõikes 1 öeldakse, millist osa Ühtekuuluvuspoliitika fondide rakenduskavast käesolev määrus reguleerib, ning lõikes 2 antakse viited riiklikele strateegiatele</w:t>
      </w:r>
      <w:r w:rsidR="00F27EC9" w:rsidRPr="00A245DA">
        <w:rPr>
          <w:rFonts w:ascii="Times New Roman" w:hAnsi="Times New Roman" w:cs="Times New Roman"/>
        </w:rPr>
        <w:t xml:space="preserve"> ja arengukavadele</w:t>
      </w:r>
      <w:r w:rsidRPr="00A245DA">
        <w:rPr>
          <w:rFonts w:ascii="Times New Roman" w:hAnsi="Times New Roman" w:cs="Times New Roman"/>
        </w:rPr>
        <w:t xml:space="preserve">, mille eesmärkide täitmiseks </w:t>
      </w:r>
      <w:r w:rsidR="00F214C4" w:rsidRPr="00A245DA">
        <w:rPr>
          <w:rFonts w:ascii="Times New Roman" w:hAnsi="Times New Roman" w:cs="Times New Roman"/>
        </w:rPr>
        <w:t>ASTRA</w:t>
      </w:r>
      <w:r w:rsidR="0039251C" w:rsidRPr="00A245DA">
        <w:rPr>
          <w:rFonts w:ascii="Times New Roman" w:hAnsi="Times New Roman" w:cs="Times New Roman"/>
        </w:rPr>
        <w:t>-</w:t>
      </w:r>
      <w:r w:rsidR="00F214C4" w:rsidRPr="00A245DA">
        <w:rPr>
          <w:rFonts w:ascii="Times New Roman" w:hAnsi="Times New Roman" w:cs="Times New Roman"/>
        </w:rPr>
        <w:t xml:space="preserve">t </w:t>
      </w:r>
      <w:r w:rsidRPr="00A245DA">
        <w:rPr>
          <w:rFonts w:ascii="Times New Roman" w:hAnsi="Times New Roman" w:cs="Times New Roman"/>
        </w:rPr>
        <w:t xml:space="preserve">rakendatakse. </w:t>
      </w:r>
      <w:r w:rsidR="005E7FAA" w:rsidRPr="00A245DA">
        <w:rPr>
          <w:rFonts w:ascii="Times New Roman" w:hAnsi="Times New Roman" w:cs="Times New Roman"/>
        </w:rPr>
        <w:t>ASTRA toetatavad tegevused (§ 6 lg 1) on kavandatud otseselt riiklike strateegiate ja arengukavade eesmärkide täitmist silmas pidades.</w:t>
      </w:r>
    </w:p>
    <w:p w14:paraId="0DCC069B" w14:textId="77777777" w:rsidR="00CF16B5" w:rsidRPr="00A245DA" w:rsidRDefault="00CF16B5" w:rsidP="00D4228F">
      <w:pPr>
        <w:pStyle w:val="NoSpacing"/>
        <w:jc w:val="both"/>
        <w:rPr>
          <w:rFonts w:ascii="Times New Roman" w:hAnsi="Times New Roman" w:cs="Times New Roman"/>
        </w:rPr>
      </w:pPr>
    </w:p>
    <w:p w14:paraId="63C74D71" w14:textId="1A8C4CB4" w:rsidR="00D80A38" w:rsidRPr="00A245DA" w:rsidRDefault="00376A61" w:rsidP="00D4228F">
      <w:pPr>
        <w:pStyle w:val="NoSpacing"/>
        <w:jc w:val="both"/>
        <w:rPr>
          <w:rFonts w:ascii="Times New Roman" w:hAnsi="Times New Roman" w:cs="Times New Roman"/>
        </w:rPr>
      </w:pPr>
      <w:r w:rsidRPr="00A245DA">
        <w:rPr>
          <w:rFonts w:ascii="Times New Roman" w:hAnsi="Times New Roman" w:cs="Times New Roman"/>
        </w:rPr>
        <w:t xml:space="preserve">Eesti teadus- ja arendustegevuse ning innovatsiooni strateegia „Teadmistepõhine Eesti 2014–2020“ ja „Eesti elukestva õppe strateegia 2020“ on otseselt teaduse ja kõrghariduse valdkondade arengut suunavad strateegiad. </w:t>
      </w:r>
      <w:r w:rsidR="00CF16B5" w:rsidRPr="00A245DA">
        <w:rPr>
          <w:rFonts w:ascii="Times New Roman" w:hAnsi="Times New Roman" w:cs="Times New Roman"/>
        </w:rPr>
        <w:t xml:space="preserve">ASTRA toetuse andmisega panustatakse otseselt </w:t>
      </w:r>
      <w:r w:rsidR="00CF16B5" w:rsidRPr="00A245DA">
        <w:rPr>
          <w:rFonts w:ascii="Times New Roman" w:hAnsi="Times New Roman" w:cs="Times New Roman"/>
          <w:u w:val="single"/>
        </w:rPr>
        <w:t>Eesti teadus- ja arendustegevuse ning innovatsiooni strateegia</w:t>
      </w:r>
      <w:r w:rsidR="00CF16B5" w:rsidRPr="00A245DA">
        <w:rPr>
          <w:rFonts w:ascii="Times New Roman" w:hAnsi="Times New Roman" w:cs="Times New Roman"/>
        </w:rPr>
        <w:t xml:space="preserve"> meetmete tegevuste täitmisse, sh meetme 1 „Teaduse kõrge taseme ja mitmekesisuse kindlustamine“ tegevus</w:t>
      </w:r>
      <w:r w:rsidR="00D80A38" w:rsidRPr="00A245DA">
        <w:rPr>
          <w:rFonts w:ascii="Times New Roman" w:hAnsi="Times New Roman" w:cs="Times New Roman"/>
        </w:rPr>
        <w:t>e</w:t>
      </w:r>
      <w:r w:rsidR="00CF16B5" w:rsidRPr="00A245DA">
        <w:rPr>
          <w:rFonts w:ascii="Times New Roman" w:hAnsi="Times New Roman" w:cs="Times New Roman"/>
        </w:rPr>
        <w:t xml:space="preserve"> 1.1. „Toetada kõrgkoolide ja teadus- ja arendusasutuste vastutusvaldkondade arendamist, struktuurseid muutusi, keskendumist strateegilisele põhitegevusele ning asutuste võrgustiku korrastamist; suurendada teadusasutuste vastutust oma tegevuse tulemuslikkuse eest“</w:t>
      </w:r>
      <w:r w:rsidR="00D80A38" w:rsidRPr="00A245DA">
        <w:rPr>
          <w:rFonts w:ascii="Times New Roman" w:hAnsi="Times New Roman" w:cs="Times New Roman"/>
        </w:rPr>
        <w:t xml:space="preserve">, kuid ka mitmete teiste tegevuste </w:t>
      </w:r>
      <w:r w:rsidR="0039251C" w:rsidRPr="00A245DA">
        <w:rPr>
          <w:rFonts w:ascii="Times New Roman" w:hAnsi="Times New Roman" w:cs="Times New Roman"/>
        </w:rPr>
        <w:t>puhul</w:t>
      </w:r>
      <w:r w:rsidR="00D80A38" w:rsidRPr="00A245DA">
        <w:rPr>
          <w:rFonts w:ascii="Times New Roman" w:hAnsi="Times New Roman" w:cs="Times New Roman"/>
        </w:rPr>
        <w:t xml:space="preserve"> (teadlaste ja inseneride järelkasvu tagamine, sh doktoriõppe arendamise kaudu, taristu arendamine, ettevõtluskoostöö</w:t>
      </w:r>
      <w:r w:rsidR="0015395F" w:rsidRPr="00A245DA">
        <w:rPr>
          <w:rFonts w:ascii="Times New Roman" w:hAnsi="Times New Roman" w:cs="Times New Roman"/>
        </w:rPr>
        <w:t xml:space="preserve"> edendamine</w:t>
      </w:r>
      <w:r w:rsidR="00D80A38" w:rsidRPr="00A245DA">
        <w:rPr>
          <w:rFonts w:ascii="Times New Roman" w:hAnsi="Times New Roman" w:cs="Times New Roman"/>
        </w:rPr>
        <w:t>, nutika spetsialiseerumise toetamine jms).</w:t>
      </w:r>
      <w:r w:rsidR="0015395F" w:rsidRPr="00A245DA">
        <w:rPr>
          <w:rFonts w:ascii="Times New Roman" w:hAnsi="Times New Roman" w:cs="Times New Roman"/>
        </w:rPr>
        <w:t xml:space="preserve"> </w:t>
      </w:r>
      <w:r w:rsidR="00D80A38" w:rsidRPr="00A245DA">
        <w:rPr>
          <w:rFonts w:ascii="Times New Roman" w:hAnsi="Times New Roman" w:cs="Times New Roman"/>
          <w:u w:val="single"/>
        </w:rPr>
        <w:t>„Eesti elukestva õppe strateegia</w:t>
      </w:r>
      <w:r w:rsidR="007B2A81" w:rsidRPr="00A245DA">
        <w:rPr>
          <w:rFonts w:ascii="Times New Roman" w:hAnsi="Times New Roman" w:cs="Times New Roman"/>
          <w:u w:val="single"/>
        </w:rPr>
        <w:t>s</w:t>
      </w:r>
      <w:r w:rsidR="00D80A38" w:rsidRPr="00A245DA">
        <w:rPr>
          <w:rFonts w:ascii="Times New Roman" w:hAnsi="Times New Roman" w:cs="Times New Roman"/>
          <w:u w:val="single"/>
        </w:rPr>
        <w:t xml:space="preserve"> 2020“</w:t>
      </w:r>
      <w:r w:rsidR="00D80A38" w:rsidRPr="00A245DA">
        <w:rPr>
          <w:rFonts w:ascii="Times New Roman" w:hAnsi="Times New Roman" w:cs="Times New Roman"/>
        </w:rPr>
        <w:t xml:space="preserve"> </w:t>
      </w:r>
      <w:r w:rsidR="007B2A81" w:rsidRPr="00A245DA">
        <w:rPr>
          <w:rFonts w:ascii="Times New Roman" w:hAnsi="Times New Roman" w:cs="Times New Roman"/>
        </w:rPr>
        <w:t xml:space="preserve"> on kvaliteetse ning töömaailma vajadustele vastava kõrghariduse kättesaadavuse tagamiseks </w:t>
      </w:r>
      <w:r w:rsidR="0003387B" w:rsidRPr="00A245DA">
        <w:rPr>
          <w:rFonts w:ascii="Times New Roman" w:hAnsi="Times New Roman" w:cs="Times New Roman"/>
        </w:rPr>
        <w:t xml:space="preserve">mh </w:t>
      </w:r>
      <w:r w:rsidR="007B2A81" w:rsidRPr="00A245DA">
        <w:rPr>
          <w:rFonts w:ascii="Times New Roman" w:hAnsi="Times New Roman" w:cs="Times New Roman"/>
        </w:rPr>
        <w:t xml:space="preserve">seatud ülesanneteks kõrgkoolidevahelise mõistliku tööjaotuse ja selgete vastutusvaldkondade väljatöötamine ning vastutusvaldkondades esmavajaliku taristu tagamiseks investeeringute kava väljatöötamine ja rakendamine. </w:t>
      </w:r>
    </w:p>
    <w:p w14:paraId="6D04BFF5" w14:textId="77777777" w:rsidR="00CF16B5" w:rsidRPr="00A245DA" w:rsidRDefault="00CF16B5" w:rsidP="00D4228F">
      <w:pPr>
        <w:pStyle w:val="NoSpacing"/>
        <w:jc w:val="both"/>
        <w:rPr>
          <w:rFonts w:ascii="Times New Roman" w:hAnsi="Times New Roman" w:cs="Times New Roman"/>
        </w:rPr>
      </w:pPr>
    </w:p>
    <w:p w14:paraId="765EE858" w14:textId="758D9ABC" w:rsidR="00CF16B5" w:rsidRPr="00A245DA" w:rsidRDefault="00376A61" w:rsidP="00D4228F">
      <w:pPr>
        <w:pStyle w:val="NoSpacing"/>
        <w:jc w:val="both"/>
        <w:rPr>
          <w:rFonts w:ascii="Times New Roman" w:hAnsi="Times New Roman" w:cs="Times New Roman"/>
        </w:rPr>
      </w:pPr>
      <w:r w:rsidRPr="00A245DA">
        <w:rPr>
          <w:rFonts w:ascii="Times New Roman" w:hAnsi="Times New Roman" w:cs="Times New Roman"/>
          <w:u w:val="single"/>
        </w:rPr>
        <w:t>„Konkurentsivõime kavas „Eesti 2020“</w:t>
      </w:r>
      <w:r w:rsidRPr="00A245DA">
        <w:rPr>
          <w:rFonts w:ascii="Times New Roman" w:hAnsi="Times New Roman" w:cs="Times New Roman"/>
        </w:rPr>
        <w:t xml:space="preserve"> on seatud </w:t>
      </w:r>
      <w:r w:rsidR="00DE3A0E" w:rsidRPr="00A245DA">
        <w:rPr>
          <w:rFonts w:ascii="Times New Roman" w:hAnsi="Times New Roman" w:cs="Times New Roman"/>
        </w:rPr>
        <w:t>haridus- ja teaduspoliitika arengule</w:t>
      </w:r>
      <w:r w:rsidRPr="00A245DA">
        <w:rPr>
          <w:rFonts w:ascii="Times New Roman" w:hAnsi="Times New Roman" w:cs="Times New Roman"/>
        </w:rPr>
        <w:t xml:space="preserve"> mitmeid põhisuundi nagu näiteks kõrgkoolidevaheline tööjaotus ja kompetentside koondamine, kõrghariduse rahvusvahelise konkurentsivõime suurendamine, </w:t>
      </w:r>
      <w:r w:rsidR="00DE3A0E" w:rsidRPr="00A245DA">
        <w:rPr>
          <w:rFonts w:ascii="Times New Roman" w:hAnsi="Times New Roman" w:cs="Times New Roman"/>
        </w:rPr>
        <w:t xml:space="preserve">teaduse inimressursi arendamine, sh </w:t>
      </w:r>
      <w:r w:rsidR="00D80A38" w:rsidRPr="00A245DA">
        <w:rPr>
          <w:rFonts w:ascii="Times New Roman" w:eastAsia="Times New Roman" w:hAnsi="Times New Roman" w:cs="Times New Roman"/>
          <w:color w:val="000000"/>
        </w:rPr>
        <w:t>inseneride ja tippspetsialistide juurdekasvu tagamine,</w:t>
      </w:r>
      <w:r w:rsidR="00D80A38" w:rsidRPr="00A245DA">
        <w:rPr>
          <w:rFonts w:ascii="Times New Roman" w:hAnsi="Times New Roman" w:cs="Times New Roman"/>
        </w:rPr>
        <w:t xml:space="preserve"> </w:t>
      </w:r>
      <w:r w:rsidR="00DE3A0E" w:rsidRPr="00A245DA">
        <w:rPr>
          <w:rFonts w:ascii="Times New Roman" w:hAnsi="Times New Roman" w:cs="Times New Roman"/>
        </w:rPr>
        <w:t>doktoriõppe kvaliteedi tõstmine, õppejõudude mobiilsuse toetamine jms</w:t>
      </w:r>
      <w:r w:rsidR="00D80A38" w:rsidRPr="00A245DA">
        <w:rPr>
          <w:rFonts w:ascii="Times New Roman" w:hAnsi="Times New Roman" w:cs="Times New Roman"/>
        </w:rPr>
        <w:t>.</w:t>
      </w:r>
      <w:r w:rsidR="00DE3A0E" w:rsidRPr="00A245DA">
        <w:rPr>
          <w:rFonts w:ascii="Times New Roman" w:hAnsi="Times New Roman" w:cs="Times New Roman"/>
        </w:rPr>
        <w:t xml:space="preserve"> </w:t>
      </w:r>
    </w:p>
    <w:p w14:paraId="6CD14C5A" w14:textId="7D003D7E" w:rsidR="00CF16B5" w:rsidRPr="00A245DA" w:rsidRDefault="007552AB" w:rsidP="001165EA">
      <w:pPr>
        <w:pStyle w:val="NoSpacing"/>
        <w:tabs>
          <w:tab w:val="left" w:pos="2727"/>
        </w:tabs>
        <w:jc w:val="both"/>
        <w:rPr>
          <w:rFonts w:ascii="Times New Roman" w:hAnsi="Times New Roman" w:cs="Times New Roman"/>
        </w:rPr>
      </w:pPr>
      <w:r w:rsidRPr="00A245DA">
        <w:rPr>
          <w:rFonts w:ascii="Times New Roman" w:hAnsi="Times New Roman" w:cs="Times New Roman"/>
        </w:rPr>
        <w:tab/>
      </w:r>
    </w:p>
    <w:p w14:paraId="6658E0B4" w14:textId="2DCBB400" w:rsidR="00DF1A11" w:rsidRPr="00A245DA" w:rsidRDefault="00376A61" w:rsidP="00D4228F">
      <w:pPr>
        <w:pStyle w:val="NoSpacing"/>
        <w:jc w:val="both"/>
        <w:rPr>
          <w:rFonts w:ascii="Times New Roman" w:hAnsi="Times New Roman" w:cs="Times New Roman"/>
        </w:rPr>
      </w:pPr>
      <w:r w:rsidRPr="00A245DA">
        <w:rPr>
          <w:rFonts w:ascii="Times New Roman" w:hAnsi="Times New Roman" w:cs="Times New Roman"/>
          <w:u w:val="single"/>
        </w:rPr>
        <w:t>„Eesti ettevõtlu</w:t>
      </w:r>
      <w:r w:rsidR="00DE3A0E" w:rsidRPr="00A245DA">
        <w:rPr>
          <w:rFonts w:ascii="Times New Roman" w:hAnsi="Times New Roman" w:cs="Times New Roman"/>
          <w:u w:val="single"/>
        </w:rPr>
        <w:t>se kasvustrateegia 2014-2020“</w:t>
      </w:r>
      <w:r w:rsidR="00DE3A0E" w:rsidRPr="00A245DA">
        <w:rPr>
          <w:rFonts w:ascii="Times New Roman" w:hAnsi="Times New Roman" w:cs="Times New Roman"/>
        </w:rPr>
        <w:t xml:space="preserve"> määratleb teaduse ja ettevõtluskoostöö peamised fookusvaldkonnad</w:t>
      </w:r>
      <w:r w:rsidR="00D80A38" w:rsidRPr="00A245DA">
        <w:rPr>
          <w:rFonts w:ascii="Times New Roman" w:hAnsi="Times New Roman" w:cs="Times New Roman"/>
        </w:rPr>
        <w:t xml:space="preserve"> ning moodustab koos Eesti teadus- ja arendustegevuse ning innovatsiooni strateegiaga „Teadmistepõhine Eesti 2014–2020“ nutika spetsialiseerumise strateegilise raamistiku</w:t>
      </w:r>
      <w:r w:rsidR="00DE3A0E" w:rsidRPr="00A245DA">
        <w:rPr>
          <w:rFonts w:ascii="Times New Roman" w:hAnsi="Times New Roman" w:cs="Times New Roman"/>
        </w:rPr>
        <w:t>.</w:t>
      </w:r>
      <w:r w:rsidR="00D80A38" w:rsidRPr="00A245DA">
        <w:rPr>
          <w:rFonts w:ascii="Times New Roman" w:hAnsi="Times New Roman" w:cs="Times New Roman"/>
        </w:rPr>
        <w:t xml:space="preserve"> ASTRA toetuse andmise eesmärgiks on </w:t>
      </w:r>
      <w:r w:rsidR="00335FAA" w:rsidRPr="00A245DA">
        <w:rPr>
          <w:rFonts w:ascii="Times New Roman" w:hAnsi="Times New Roman" w:cs="Times New Roman"/>
        </w:rPr>
        <w:t>mh teadus- ja arendusasutuste ja kõrgkoolide konkurentsivõime ja ühiskonna teenimise võimekuse kasv, silmas pidades nutika spetsialiseerumise kasvuvaldkondade arenguvajadusi.</w:t>
      </w:r>
    </w:p>
    <w:p w14:paraId="79BE2A6B" w14:textId="25F96CF2" w:rsidR="00864AB9" w:rsidRPr="00A245DA" w:rsidRDefault="00A7229C" w:rsidP="00A7229C">
      <w:pPr>
        <w:rPr>
          <w:rFonts w:ascii="Times New Roman" w:hAnsi="Times New Roman"/>
          <w:lang w:eastAsia="et-EE"/>
        </w:rPr>
      </w:pPr>
      <w:r w:rsidRPr="00A245DA">
        <w:rPr>
          <w:rFonts w:ascii="Times New Roman" w:hAnsi="Times New Roman"/>
          <w:u w:val="single"/>
          <w:lang w:eastAsia="et-EE"/>
        </w:rPr>
        <w:t>Lõi</w:t>
      </w:r>
      <w:r w:rsidR="00864AB9" w:rsidRPr="00A245DA">
        <w:rPr>
          <w:rFonts w:ascii="Times New Roman" w:hAnsi="Times New Roman"/>
          <w:u w:val="single"/>
          <w:lang w:eastAsia="et-EE"/>
        </w:rPr>
        <w:t>getes</w:t>
      </w:r>
      <w:r w:rsidRPr="00A245DA">
        <w:rPr>
          <w:rFonts w:ascii="Times New Roman" w:hAnsi="Times New Roman"/>
          <w:u w:val="single"/>
          <w:lang w:eastAsia="et-EE"/>
        </w:rPr>
        <w:t xml:space="preserve"> 3</w:t>
      </w:r>
      <w:r w:rsidR="00864AB9" w:rsidRPr="00A245DA">
        <w:rPr>
          <w:rFonts w:ascii="Times New Roman" w:hAnsi="Times New Roman"/>
          <w:u w:val="single"/>
          <w:lang w:eastAsia="et-EE"/>
        </w:rPr>
        <w:t>-6</w:t>
      </w:r>
      <w:r w:rsidRPr="00A245DA">
        <w:rPr>
          <w:rFonts w:ascii="Times New Roman" w:hAnsi="Times New Roman"/>
          <w:lang w:eastAsia="et-EE"/>
        </w:rPr>
        <w:t xml:space="preserve"> on toodud riigiabi andmise korral järgitavad õiguslikud alused ja seda reguleerivad dokumendid. </w:t>
      </w:r>
    </w:p>
    <w:p w14:paraId="086A7CD3" w14:textId="0F6E3A11" w:rsidR="00A7229C" w:rsidRPr="00A245DA" w:rsidRDefault="00A7229C" w:rsidP="00A7229C">
      <w:pPr>
        <w:rPr>
          <w:rFonts w:ascii="Times New Roman" w:hAnsi="Times New Roman"/>
          <w:bCs/>
          <w:lang w:eastAsia="et-EE"/>
        </w:rPr>
      </w:pPr>
      <w:r w:rsidRPr="00A245DA">
        <w:rPr>
          <w:rFonts w:ascii="Times New Roman" w:hAnsi="Times New Roman"/>
          <w:lang w:eastAsia="et-EE"/>
        </w:rPr>
        <w:t xml:space="preserve">Juhul, kui määrusega antav toetus on riigiabi </w:t>
      </w:r>
      <w:r w:rsidRPr="00A245DA">
        <w:rPr>
          <w:rFonts w:ascii="Times New Roman" w:hAnsi="Times New Roman"/>
          <w:bCs/>
          <w:lang w:eastAsia="et-EE"/>
        </w:rPr>
        <w:t>konkurentsiseaduse § 30 lõike 1 mõistes, siis lähtutakse toetuse andmisel</w:t>
      </w:r>
      <w:r w:rsidRPr="00A245DA">
        <w:rPr>
          <w:rFonts w:ascii="Times New Roman" w:hAnsi="Times New Roman"/>
          <w:lang w:eastAsia="et-EE"/>
        </w:rPr>
        <w:t xml:space="preserve"> Euroopa Komisjoni määrusest (EL) nr 651/2014 (edaspidi: </w:t>
      </w:r>
      <w:r w:rsidRPr="00A245DA">
        <w:rPr>
          <w:rFonts w:ascii="Times New Roman" w:hAnsi="Times New Roman"/>
          <w:i/>
          <w:lang w:eastAsia="et-EE"/>
        </w:rPr>
        <w:t>üldine grupierandi määrus</w:t>
      </w:r>
      <w:r w:rsidRPr="00A245DA">
        <w:rPr>
          <w:rFonts w:ascii="Times New Roman" w:hAnsi="Times New Roman"/>
          <w:lang w:eastAsia="et-EE"/>
        </w:rPr>
        <w:t xml:space="preserve">) ja </w:t>
      </w:r>
      <w:r w:rsidRPr="00A245DA">
        <w:rPr>
          <w:rFonts w:ascii="Times New Roman" w:hAnsi="Times New Roman"/>
          <w:bCs/>
          <w:lang w:eastAsia="et-EE"/>
        </w:rPr>
        <w:t>konkurentsiseaduse §-st 34</w:t>
      </w:r>
      <w:r w:rsidRPr="00A245DA">
        <w:rPr>
          <w:rFonts w:ascii="Times New Roman" w:hAnsi="Times New Roman"/>
          <w:bCs/>
          <w:vertAlign w:val="superscript"/>
          <w:lang w:eastAsia="et-EE"/>
        </w:rPr>
        <w:t>2</w:t>
      </w:r>
      <w:r w:rsidRPr="00A245DA">
        <w:rPr>
          <w:rFonts w:ascii="Times New Roman" w:hAnsi="Times New Roman"/>
          <w:bCs/>
          <w:lang w:eastAsia="et-EE"/>
        </w:rPr>
        <w:t xml:space="preserve">. </w:t>
      </w:r>
    </w:p>
    <w:p w14:paraId="78434D0B" w14:textId="3913CF3B" w:rsidR="00A7229C" w:rsidRPr="00A245DA" w:rsidRDefault="00A7229C" w:rsidP="00A7229C">
      <w:pPr>
        <w:rPr>
          <w:rFonts w:ascii="Times New Roman" w:hAnsi="Times New Roman"/>
          <w:bCs/>
          <w:lang w:eastAsia="et-EE"/>
        </w:rPr>
      </w:pPr>
      <w:r w:rsidRPr="00A245DA">
        <w:rPr>
          <w:rFonts w:ascii="Times New Roman" w:hAnsi="Times New Roman"/>
          <w:bCs/>
          <w:lang w:eastAsia="et-EE"/>
        </w:rPr>
        <w:t xml:space="preserve">Tuleb märkida, et üldiselt ei ole käesoleva määrusega antav toetus riigiabi konkurentsiseaduse § 30 lõike 1 tähenduses. ASTRA raames toetuse andmise eesmärgiks on teadus- ja arendusasutuste ning kõrgkoolide konkurentsivõime ja ühiskonna teenimise võimekuse kasv asutuste vastutusvaldkondades ja nutika spetsialiseerumise kasvuvaldkondades ning teadus- ja arendus ja kõrgharidussüsteemi efektiivsuse suurendamine, sealhulgas asutuste struktuursete ümberkorralduste teel. Toetatakse avalik-õiguslike ja riigi omanduses olevate teadus- ja arendusasutuste ja kõrgkoolide arengut, kelle põhitegevus on mittemajandustegevus (tasemeõpe, sõltumatu teadus- ja arendustegevus ja teadmussiire) ning sellise tegevusega seotud infrastruktuuri toetamisele ei kohaldu riigiabi reeglid. Samas </w:t>
      </w:r>
      <w:r w:rsidRPr="00A245DA">
        <w:rPr>
          <w:rFonts w:ascii="Times New Roman" w:eastAsia="Arial Unicode MS" w:hAnsi="Times New Roman"/>
          <w:bCs/>
        </w:rPr>
        <w:t xml:space="preserve">üldjuhul puudub koostööprojektides osaleval teadusasutusel ka soov ja võimekus projekti tulemuste majanduslikuks rakendamiseks. </w:t>
      </w:r>
    </w:p>
    <w:p w14:paraId="48EF8725" w14:textId="1D71EEF1" w:rsidR="00A7229C" w:rsidRPr="00A245DA" w:rsidRDefault="00A7229C" w:rsidP="00A7229C">
      <w:pPr>
        <w:rPr>
          <w:rFonts w:ascii="Times New Roman" w:hAnsi="Times New Roman"/>
          <w:bCs/>
          <w:color w:val="FF0000"/>
          <w:lang w:eastAsia="et-EE"/>
        </w:rPr>
      </w:pPr>
      <w:r w:rsidRPr="00A245DA">
        <w:rPr>
          <w:rFonts w:ascii="Times New Roman" w:hAnsi="Times New Roman"/>
          <w:bCs/>
          <w:lang w:eastAsia="et-EE"/>
        </w:rPr>
        <w:t>Eeltoodust tulenevalt ei ole toetused üldjuhul käsitletavad riigiabina, kuid kuna täielikult ei saa välistada, et toetatavat infrastruktuuri kasutatakse tulevikus ka majandustegevuseks</w:t>
      </w:r>
      <w:r w:rsidR="00C64A3C" w:rsidRPr="00A245DA">
        <w:rPr>
          <w:rFonts w:ascii="Times New Roman" w:hAnsi="Times New Roman"/>
          <w:bCs/>
          <w:lang w:eastAsia="et-EE"/>
        </w:rPr>
        <w:t>,</w:t>
      </w:r>
      <w:r w:rsidRPr="00A245DA">
        <w:rPr>
          <w:rFonts w:ascii="Times New Roman" w:hAnsi="Times New Roman"/>
          <w:bCs/>
          <w:lang w:eastAsia="et-EE"/>
        </w:rPr>
        <w:t xml:space="preserve"> tuleb riigiabi andmist eraldi hinnata. Selleks on toodud ka vastav viide </w:t>
      </w:r>
      <w:r w:rsidR="00BD3D22" w:rsidRPr="00A245DA">
        <w:rPr>
          <w:rFonts w:ascii="Times New Roman" w:hAnsi="Times New Roman"/>
          <w:bCs/>
          <w:lang w:eastAsia="et-EE"/>
        </w:rPr>
        <w:t xml:space="preserve">lõikes </w:t>
      </w:r>
      <w:r w:rsidRPr="00A245DA">
        <w:rPr>
          <w:rFonts w:ascii="Times New Roman" w:hAnsi="Times New Roman"/>
          <w:bCs/>
          <w:lang w:eastAsia="et-EE"/>
        </w:rPr>
        <w:t xml:space="preserve">3. Kuna antud meetme raames on tegemist infrastruktuuri toetamisega,  siis  on võimalikuks  riigiabi liigiks abi teadusuuringute taristule (komisjoni üldise grupierandi määruse artikkel 26). </w:t>
      </w:r>
      <w:r w:rsidR="00C72E2D" w:rsidRPr="00A245DA">
        <w:rPr>
          <w:rFonts w:ascii="Times New Roman" w:hAnsi="Times New Roman"/>
          <w:bCs/>
          <w:lang w:eastAsia="et-EE"/>
        </w:rPr>
        <w:t xml:space="preserve">Riigiabi võib kõne alla tulla § 6 lõike 1 punktides 1, 5 ja 7 sätestatud tegevuste puhul. </w:t>
      </w:r>
    </w:p>
    <w:p w14:paraId="282082DD" w14:textId="0F975F2D" w:rsidR="00A7229C" w:rsidRPr="00A245DA" w:rsidRDefault="00A7229C" w:rsidP="00A7229C">
      <w:pPr>
        <w:spacing w:before="0" w:after="160"/>
        <w:rPr>
          <w:rFonts w:ascii="Times New Roman" w:hAnsi="Times New Roman"/>
          <w:bCs/>
          <w:color w:val="4F81BD" w:themeColor="accent1"/>
          <w:lang w:eastAsia="et-EE"/>
        </w:rPr>
      </w:pPr>
      <w:r w:rsidRPr="00A245DA">
        <w:rPr>
          <w:rFonts w:ascii="Times New Roman" w:hAnsi="Times New Roman"/>
          <w:bCs/>
          <w:lang w:eastAsia="et-EE"/>
        </w:rPr>
        <w:lastRenderedPageBreak/>
        <w:t xml:space="preserve">Eeltoodust tulenevalt </w:t>
      </w:r>
      <w:r w:rsidR="00C64A3C" w:rsidRPr="00A245DA">
        <w:rPr>
          <w:rFonts w:ascii="Times New Roman" w:hAnsi="Times New Roman"/>
          <w:bCs/>
          <w:lang w:eastAsia="et-EE"/>
        </w:rPr>
        <w:t>on</w:t>
      </w:r>
      <w:r w:rsidRPr="00A245DA">
        <w:rPr>
          <w:rFonts w:ascii="Times New Roman" w:hAnsi="Times New Roman"/>
          <w:bCs/>
          <w:lang w:eastAsia="et-EE"/>
        </w:rPr>
        <w:t xml:space="preserve"> rakendusüksusel kohustus hinnata projekte riigiabi andmise kontekstis, kaaludes, kas tegemist võiks olla riigiabi andmise juhtumiga. Rakendusüksus vaatab kõne all olevad projektid lähtuvalt riigiabi andmise põhimõtetest läbi</w:t>
      </w:r>
      <w:r w:rsidR="005F6883" w:rsidRPr="00A245DA">
        <w:rPr>
          <w:rFonts w:ascii="Times New Roman" w:hAnsi="Times New Roman"/>
          <w:bCs/>
          <w:lang w:eastAsia="et-EE"/>
        </w:rPr>
        <w:t>,</w:t>
      </w:r>
      <w:r w:rsidRPr="00A245DA">
        <w:rPr>
          <w:rFonts w:ascii="Times New Roman" w:hAnsi="Times New Roman"/>
          <w:bCs/>
          <w:lang w:eastAsia="et-EE"/>
        </w:rPr>
        <w:t xml:space="preserve"> muuhulgas hin</w:t>
      </w:r>
      <w:r w:rsidR="005F6883" w:rsidRPr="00A245DA">
        <w:rPr>
          <w:rFonts w:ascii="Times New Roman" w:hAnsi="Times New Roman"/>
          <w:bCs/>
          <w:lang w:eastAsia="et-EE"/>
        </w:rPr>
        <w:t>nates</w:t>
      </w:r>
      <w:r w:rsidRPr="00A245DA">
        <w:rPr>
          <w:rFonts w:ascii="Times New Roman" w:hAnsi="Times New Roman"/>
          <w:bCs/>
          <w:lang w:eastAsia="et-EE"/>
        </w:rPr>
        <w:t xml:space="preserve"> ka seda, kas</w:t>
      </w:r>
      <w:r w:rsidRPr="00A245DA">
        <w:rPr>
          <w:rFonts w:ascii="Times New Roman" w:hAnsi="Times New Roman"/>
          <w:bCs/>
          <w:iCs/>
          <w:lang w:eastAsia="et-EE"/>
        </w:rPr>
        <w:t xml:space="preserve"> hooneid ja seadmeid hakatakse kasutama majandustegevuseks </w:t>
      </w:r>
      <w:r w:rsidR="00C64A3C" w:rsidRPr="00A245DA">
        <w:rPr>
          <w:rFonts w:ascii="Times New Roman" w:hAnsi="Times New Roman"/>
          <w:bCs/>
          <w:iCs/>
          <w:lang w:eastAsia="et-EE"/>
        </w:rPr>
        <w:t xml:space="preserve">mahus </w:t>
      </w:r>
      <w:r w:rsidRPr="00A245DA">
        <w:rPr>
          <w:rFonts w:ascii="Times New Roman" w:hAnsi="Times New Roman"/>
          <w:bCs/>
          <w:iCs/>
          <w:lang w:eastAsia="et-EE"/>
        </w:rPr>
        <w:t xml:space="preserve">üle 20% ning kas toetust saab sellisel juhul anda vastavalt üldise grupierandi määruse artiklile 26 50% ulatuses ehk 50% majandustegevuseks kasutatavast investeeringu osast. </w:t>
      </w:r>
    </w:p>
    <w:p w14:paraId="6658E0B6" w14:textId="0B9EA392" w:rsidR="008F6986" w:rsidRPr="00A245DA" w:rsidRDefault="008F6986" w:rsidP="00D4228F">
      <w:pPr>
        <w:pStyle w:val="NoSpacing"/>
        <w:jc w:val="both"/>
        <w:rPr>
          <w:rFonts w:ascii="Times New Roman" w:hAnsi="Times New Roman" w:cs="Times New Roman"/>
          <w:i/>
        </w:rPr>
      </w:pPr>
      <w:r w:rsidRPr="00A245DA">
        <w:rPr>
          <w:rFonts w:ascii="Times New Roman" w:hAnsi="Times New Roman" w:cs="Times New Roman"/>
          <w:u w:val="single"/>
        </w:rPr>
        <w:t xml:space="preserve">§-s 2 </w:t>
      </w:r>
      <w:r w:rsidRPr="00A245DA">
        <w:rPr>
          <w:rFonts w:ascii="Times New Roman" w:hAnsi="Times New Roman" w:cs="Times New Roman"/>
        </w:rPr>
        <w:t xml:space="preserve">antakse seletus </w:t>
      </w:r>
      <w:r w:rsidR="002268F9" w:rsidRPr="00A245DA">
        <w:rPr>
          <w:rFonts w:ascii="Times New Roman" w:hAnsi="Times New Roman" w:cs="Times New Roman"/>
        </w:rPr>
        <w:t xml:space="preserve">käesolevas määruses kasutatud </w:t>
      </w:r>
      <w:r w:rsidRPr="00A245DA">
        <w:rPr>
          <w:rFonts w:ascii="Times New Roman" w:hAnsi="Times New Roman" w:cs="Times New Roman"/>
        </w:rPr>
        <w:t xml:space="preserve">terminitele, mida ei ole </w:t>
      </w:r>
      <w:r w:rsidR="002268F9" w:rsidRPr="00A245DA">
        <w:rPr>
          <w:rFonts w:ascii="Times New Roman" w:hAnsi="Times New Roman" w:cs="Times New Roman"/>
        </w:rPr>
        <w:t>defineeritud seadustes ega muudes õigusaktides. Käesoleva määruse piires antakse selgitus järgmistele mõistetele</w:t>
      </w:r>
      <w:r w:rsidR="00B219DD" w:rsidRPr="00A245DA">
        <w:rPr>
          <w:rFonts w:ascii="Times New Roman" w:hAnsi="Times New Roman" w:cs="Times New Roman"/>
        </w:rPr>
        <w:t>, et tagada nende üheselt</w:t>
      </w:r>
      <w:r w:rsidR="00BC73BC" w:rsidRPr="00A245DA">
        <w:rPr>
          <w:rFonts w:ascii="Times New Roman" w:hAnsi="Times New Roman" w:cs="Times New Roman"/>
        </w:rPr>
        <w:t xml:space="preserve"> </w:t>
      </w:r>
      <w:r w:rsidR="00B219DD" w:rsidRPr="00A245DA">
        <w:rPr>
          <w:rFonts w:ascii="Times New Roman" w:hAnsi="Times New Roman" w:cs="Times New Roman"/>
        </w:rPr>
        <w:t>mõistetavus</w:t>
      </w:r>
      <w:r w:rsidR="002268F9" w:rsidRPr="00A245DA">
        <w:rPr>
          <w:rFonts w:ascii="Times New Roman" w:hAnsi="Times New Roman" w:cs="Times New Roman"/>
        </w:rPr>
        <w:t xml:space="preserve">: </w:t>
      </w:r>
    </w:p>
    <w:p w14:paraId="137E1ADF" w14:textId="3031255F" w:rsidR="00335FAA" w:rsidRPr="00A245DA" w:rsidRDefault="0015395F" w:rsidP="00B219DD">
      <w:pPr>
        <w:spacing w:after="0"/>
        <w:rPr>
          <w:rFonts w:ascii="Times New Roman" w:hAnsi="Times New Roman"/>
          <w:bCs/>
          <w:lang w:eastAsia="et-EE"/>
        </w:rPr>
      </w:pPr>
      <w:r w:rsidRPr="00A245DA">
        <w:rPr>
          <w:rFonts w:ascii="Times New Roman" w:hAnsi="Times New Roman"/>
          <w:bCs/>
          <w:lang w:eastAsia="et-EE"/>
        </w:rPr>
        <w:t xml:space="preserve">1) </w:t>
      </w:r>
      <w:r w:rsidR="00B219DD" w:rsidRPr="00A245DA">
        <w:rPr>
          <w:rFonts w:ascii="Times New Roman" w:hAnsi="Times New Roman"/>
          <w:bCs/>
          <w:u w:val="single"/>
          <w:lang w:eastAsia="et-EE"/>
        </w:rPr>
        <w:t>A</w:t>
      </w:r>
      <w:r w:rsidR="00335FAA" w:rsidRPr="00A245DA">
        <w:rPr>
          <w:rFonts w:ascii="Times New Roman" w:hAnsi="Times New Roman"/>
          <w:bCs/>
          <w:u w:val="single"/>
          <w:lang w:eastAsia="et-EE"/>
        </w:rPr>
        <w:t>sutuse vastutusvaldkon</w:t>
      </w:r>
      <w:r w:rsidR="00B219DD" w:rsidRPr="00A245DA">
        <w:rPr>
          <w:rFonts w:ascii="Times New Roman" w:hAnsi="Times New Roman"/>
          <w:bCs/>
          <w:u w:val="single"/>
          <w:lang w:eastAsia="et-EE"/>
        </w:rPr>
        <w:t>na</w:t>
      </w:r>
      <w:r w:rsidR="00B219DD" w:rsidRPr="00A245DA">
        <w:rPr>
          <w:rFonts w:ascii="Times New Roman" w:hAnsi="Times New Roman"/>
          <w:b/>
          <w:bCs/>
          <w:lang w:eastAsia="et-EE"/>
        </w:rPr>
        <w:t xml:space="preserve"> </w:t>
      </w:r>
      <w:r w:rsidR="00B219DD" w:rsidRPr="00A245DA">
        <w:rPr>
          <w:rFonts w:ascii="Times New Roman" w:hAnsi="Times New Roman"/>
          <w:bCs/>
          <w:lang w:eastAsia="et-EE"/>
        </w:rPr>
        <w:t xml:space="preserve">all on mõeldud kõrgkoolide </w:t>
      </w:r>
      <w:r w:rsidR="00E42F0F" w:rsidRPr="00A245DA">
        <w:rPr>
          <w:rFonts w:ascii="Times New Roman" w:hAnsi="Times New Roman"/>
          <w:bCs/>
          <w:lang w:eastAsia="et-EE"/>
        </w:rPr>
        <w:t xml:space="preserve">tegevustoetuse eraldamise lepingutes </w:t>
      </w:r>
      <w:r w:rsidR="00640329" w:rsidRPr="00A245DA">
        <w:rPr>
          <w:rFonts w:ascii="Times New Roman" w:hAnsi="Times New Roman"/>
          <w:bCs/>
          <w:lang w:eastAsia="et-EE"/>
        </w:rPr>
        <w:t xml:space="preserve">või -käskkirjades </w:t>
      </w:r>
      <w:r w:rsidR="00B219DD" w:rsidRPr="00A245DA">
        <w:rPr>
          <w:rFonts w:ascii="Times New Roman" w:hAnsi="Times New Roman"/>
          <w:bCs/>
          <w:lang w:eastAsia="et-EE"/>
        </w:rPr>
        <w:t>määratletud vastutusvaldkondi</w:t>
      </w:r>
      <w:r w:rsidR="00335FAA" w:rsidRPr="00A245DA">
        <w:rPr>
          <w:rFonts w:ascii="Times New Roman" w:hAnsi="Times New Roman"/>
          <w:b/>
          <w:bCs/>
          <w:lang w:eastAsia="et-EE"/>
        </w:rPr>
        <w:t xml:space="preserve"> </w:t>
      </w:r>
      <w:r w:rsidR="00BC73BC" w:rsidRPr="00A245DA">
        <w:rPr>
          <w:rFonts w:ascii="Times New Roman" w:hAnsi="Times New Roman"/>
          <w:bCs/>
          <w:lang w:eastAsia="et-EE"/>
        </w:rPr>
        <w:t xml:space="preserve">ning teadus- ja arendusasutuste põhikirjalisi ülesandeid või põhitegevusi. Viimane puudutab eelkõige riigi teadus- ja arendusasutusi, mis samuti kuuluvad toetuse </w:t>
      </w:r>
      <w:r w:rsidRPr="00A245DA">
        <w:rPr>
          <w:rFonts w:ascii="Times New Roman" w:hAnsi="Times New Roman"/>
          <w:bCs/>
          <w:lang w:eastAsia="et-EE"/>
        </w:rPr>
        <w:t>taotlejate hulka</w:t>
      </w:r>
      <w:r w:rsidR="00BC73BC" w:rsidRPr="00A245DA">
        <w:rPr>
          <w:rFonts w:ascii="Times New Roman" w:hAnsi="Times New Roman"/>
          <w:bCs/>
          <w:lang w:eastAsia="et-EE"/>
        </w:rPr>
        <w:t xml:space="preserve">. Mõiste on oluline eelkõige tulenevalt ASTRA toetuse andmise eesmärgist kasvatada teadus- ja arendusasutuste ning </w:t>
      </w:r>
      <w:r w:rsidR="00335FAA" w:rsidRPr="00A245DA">
        <w:rPr>
          <w:rFonts w:ascii="Times New Roman" w:hAnsi="Times New Roman"/>
          <w:bCs/>
          <w:lang w:eastAsia="et-EE"/>
        </w:rPr>
        <w:t>kõrgkooli</w:t>
      </w:r>
      <w:r w:rsidR="00BC73BC" w:rsidRPr="00A245DA">
        <w:rPr>
          <w:rFonts w:ascii="Times New Roman" w:hAnsi="Times New Roman"/>
          <w:bCs/>
          <w:lang w:eastAsia="et-EE"/>
        </w:rPr>
        <w:t xml:space="preserve">de konkurentsivõimet ja ühiskonna teenimise võimekust </w:t>
      </w:r>
      <w:r w:rsidR="00BC73BC" w:rsidRPr="00A245DA">
        <w:rPr>
          <w:rFonts w:ascii="Times New Roman" w:hAnsi="Times New Roman"/>
        </w:rPr>
        <w:t xml:space="preserve">strateegilisele põhitegevusele </w:t>
      </w:r>
      <w:r w:rsidRPr="00A245DA">
        <w:rPr>
          <w:rFonts w:ascii="Times New Roman" w:hAnsi="Times New Roman"/>
        </w:rPr>
        <w:t xml:space="preserve">keskendumise </w:t>
      </w:r>
      <w:r w:rsidR="00BC73BC" w:rsidRPr="00A245DA">
        <w:rPr>
          <w:rFonts w:ascii="Times New Roman" w:hAnsi="Times New Roman"/>
        </w:rPr>
        <w:t xml:space="preserve">ja </w:t>
      </w:r>
      <w:r w:rsidRPr="00A245DA">
        <w:rPr>
          <w:rFonts w:ascii="Times New Roman" w:hAnsi="Times New Roman"/>
        </w:rPr>
        <w:t xml:space="preserve">oma tegevuse tulemuslikkuse eest </w:t>
      </w:r>
      <w:r w:rsidR="00BC73BC" w:rsidRPr="00A245DA">
        <w:rPr>
          <w:rFonts w:ascii="Times New Roman" w:hAnsi="Times New Roman"/>
        </w:rPr>
        <w:t xml:space="preserve">vastutuse suurendamise </w:t>
      </w:r>
      <w:r w:rsidRPr="00A245DA">
        <w:rPr>
          <w:rFonts w:ascii="Times New Roman" w:hAnsi="Times New Roman"/>
        </w:rPr>
        <w:t>kaudu</w:t>
      </w:r>
      <w:r w:rsidR="00BC73BC" w:rsidRPr="00A245DA">
        <w:rPr>
          <w:rFonts w:ascii="Times New Roman" w:hAnsi="Times New Roman"/>
        </w:rPr>
        <w:t>.</w:t>
      </w:r>
      <w:r w:rsidR="00335FAA" w:rsidRPr="00A245DA">
        <w:rPr>
          <w:rFonts w:ascii="Times New Roman" w:hAnsi="Times New Roman"/>
          <w:bCs/>
          <w:lang w:eastAsia="et-EE"/>
        </w:rPr>
        <w:t xml:space="preserve"> </w:t>
      </w:r>
    </w:p>
    <w:p w14:paraId="67D987CB" w14:textId="7E4A4E96" w:rsidR="00335FAA" w:rsidRPr="00A245DA" w:rsidRDefault="0015395F" w:rsidP="00BC73BC">
      <w:pPr>
        <w:spacing w:after="0"/>
        <w:rPr>
          <w:rFonts w:ascii="Times New Roman" w:hAnsi="Times New Roman"/>
          <w:bCs/>
          <w:lang w:eastAsia="et-EE"/>
        </w:rPr>
      </w:pPr>
      <w:r w:rsidRPr="00A245DA">
        <w:rPr>
          <w:rFonts w:ascii="Times New Roman" w:hAnsi="Times New Roman"/>
          <w:bCs/>
          <w:lang w:eastAsia="et-EE"/>
        </w:rPr>
        <w:t xml:space="preserve">2) </w:t>
      </w:r>
      <w:r w:rsidR="00BC73BC" w:rsidRPr="00A245DA">
        <w:rPr>
          <w:rFonts w:ascii="Times New Roman" w:hAnsi="Times New Roman"/>
          <w:bCs/>
          <w:u w:val="single"/>
          <w:lang w:eastAsia="et-EE"/>
        </w:rPr>
        <w:t>Õ</w:t>
      </w:r>
      <w:r w:rsidR="00335FAA" w:rsidRPr="00A245DA">
        <w:rPr>
          <w:rFonts w:ascii="Times New Roman" w:hAnsi="Times New Roman"/>
          <w:bCs/>
          <w:u w:val="single"/>
          <w:lang w:eastAsia="et-EE"/>
        </w:rPr>
        <w:t>ppe- ja teadustöö infrastruktuur</w:t>
      </w:r>
      <w:r w:rsidR="00BC73BC" w:rsidRPr="00A245DA">
        <w:rPr>
          <w:rFonts w:ascii="Times New Roman" w:hAnsi="Times New Roman"/>
          <w:bCs/>
          <w:u w:val="single"/>
          <w:lang w:eastAsia="et-EE"/>
        </w:rPr>
        <w:t>i</w:t>
      </w:r>
      <w:r w:rsidR="00335FAA" w:rsidRPr="00A245DA">
        <w:rPr>
          <w:rFonts w:ascii="Times New Roman" w:hAnsi="Times New Roman"/>
          <w:bCs/>
          <w:lang w:eastAsia="et-EE"/>
        </w:rPr>
        <w:t xml:space="preserve"> </w:t>
      </w:r>
      <w:r w:rsidR="00BC73BC" w:rsidRPr="00A245DA">
        <w:rPr>
          <w:rFonts w:ascii="Times New Roman" w:hAnsi="Times New Roman"/>
          <w:bCs/>
          <w:lang w:eastAsia="et-EE"/>
        </w:rPr>
        <w:t>defineerimine on vajalik, kuna seostub ühe toetatava tegevusega (</w:t>
      </w:r>
      <w:r w:rsidR="003E6944" w:rsidRPr="00A245DA">
        <w:rPr>
          <w:rFonts w:ascii="Times New Roman" w:hAnsi="Times New Roman"/>
          <w:bCs/>
          <w:lang w:eastAsia="et-EE"/>
        </w:rPr>
        <w:t>§ 6 lg 1 p 5)</w:t>
      </w:r>
      <w:r w:rsidRPr="00A245DA">
        <w:rPr>
          <w:rFonts w:ascii="Times New Roman" w:hAnsi="Times New Roman"/>
          <w:bCs/>
          <w:lang w:eastAsia="et-EE"/>
        </w:rPr>
        <w:t>.</w:t>
      </w:r>
      <w:r w:rsidR="003E6944" w:rsidRPr="00A245DA">
        <w:rPr>
          <w:rFonts w:ascii="Times New Roman" w:hAnsi="Times New Roman"/>
          <w:bCs/>
          <w:lang w:eastAsia="et-EE"/>
        </w:rPr>
        <w:t xml:space="preserve"> Antud juhul on õppe- ja teadustöö infrastruktuuri all </w:t>
      </w:r>
      <w:r w:rsidRPr="00A245DA">
        <w:rPr>
          <w:rFonts w:ascii="Times New Roman" w:hAnsi="Times New Roman"/>
          <w:bCs/>
          <w:lang w:eastAsia="et-EE"/>
        </w:rPr>
        <w:t xml:space="preserve">esiteks </w:t>
      </w:r>
      <w:r w:rsidR="003E6944" w:rsidRPr="00A245DA">
        <w:rPr>
          <w:rFonts w:ascii="Times New Roman" w:hAnsi="Times New Roman"/>
          <w:bCs/>
          <w:lang w:eastAsia="et-EE"/>
        </w:rPr>
        <w:t xml:space="preserve">mõeldud infrastruktuuri nn aparatuurset ja seadmete osa (vastukaaluks ehitistele) ning </w:t>
      </w:r>
      <w:r w:rsidRPr="00A245DA">
        <w:rPr>
          <w:rFonts w:ascii="Times New Roman" w:hAnsi="Times New Roman"/>
          <w:bCs/>
          <w:lang w:eastAsia="et-EE"/>
        </w:rPr>
        <w:t xml:space="preserve">teiseks </w:t>
      </w:r>
      <w:r w:rsidR="003E6944" w:rsidRPr="00A245DA">
        <w:rPr>
          <w:rFonts w:ascii="Times New Roman" w:hAnsi="Times New Roman"/>
          <w:bCs/>
          <w:lang w:eastAsia="et-EE"/>
        </w:rPr>
        <w:t>märksa laiemat loetelu</w:t>
      </w:r>
      <w:r w:rsidRPr="00A245DA">
        <w:rPr>
          <w:rFonts w:ascii="Times New Roman" w:hAnsi="Times New Roman"/>
          <w:bCs/>
          <w:lang w:eastAsia="et-EE"/>
        </w:rPr>
        <w:t xml:space="preserve"> sellest, mida see hõlmab</w:t>
      </w:r>
      <w:r w:rsidR="003E6944" w:rsidRPr="00A245DA">
        <w:rPr>
          <w:rFonts w:ascii="Times New Roman" w:hAnsi="Times New Roman"/>
          <w:bCs/>
          <w:lang w:eastAsia="et-EE"/>
        </w:rPr>
        <w:t xml:space="preserve"> (sh kollektsioonid, tarkvara jms). Mõistet on laiendatud</w:t>
      </w:r>
      <w:r w:rsidRPr="00A245DA">
        <w:rPr>
          <w:rFonts w:ascii="Times New Roman" w:hAnsi="Times New Roman"/>
          <w:bCs/>
          <w:lang w:eastAsia="et-EE"/>
        </w:rPr>
        <w:t xml:space="preserve">, </w:t>
      </w:r>
      <w:r w:rsidR="003E6944" w:rsidRPr="00A245DA">
        <w:rPr>
          <w:rFonts w:ascii="Times New Roman" w:hAnsi="Times New Roman"/>
          <w:bCs/>
          <w:lang w:eastAsia="et-EE"/>
        </w:rPr>
        <w:t>võimalda</w:t>
      </w:r>
      <w:r w:rsidRPr="00A245DA">
        <w:rPr>
          <w:rFonts w:ascii="Times New Roman" w:hAnsi="Times New Roman"/>
          <w:bCs/>
          <w:lang w:eastAsia="et-EE"/>
        </w:rPr>
        <w:t>maks</w:t>
      </w:r>
      <w:r w:rsidR="003E6944" w:rsidRPr="00A245DA">
        <w:rPr>
          <w:rFonts w:ascii="Times New Roman" w:hAnsi="Times New Roman"/>
          <w:bCs/>
          <w:lang w:eastAsia="et-EE"/>
        </w:rPr>
        <w:t xml:space="preserve"> suuremat paindlikkust ja tagada asutustele rohkem valikuvõimalusi oma strateegiliste arenguplaanide elluviimise</w:t>
      </w:r>
      <w:r w:rsidRPr="00A245DA">
        <w:rPr>
          <w:rFonts w:ascii="Times New Roman" w:hAnsi="Times New Roman"/>
          <w:bCs/>
          <w:lang w:eastAsia="et-EE"/>
        </w:rPr>
        <w:t>l</w:t>
      </w:r>
      <w:r w:rsidR="003E6944" w:rsidRPr="00A245DA">
        <w:rPr>
          <w:rFonts w:ascii="Times New Roman" w:hAnsi="Times New Roman"/>
          <w:bCs/>
          <w:lang w:eastAsia="et-EE"/>
        </w:rPr>
        <w:t>.</w:t>
      </w:r>
      <w:r w:rsidR="001A280B" w:rsidRPr="00A245DA">
        <w:rPr>
          <w:rFonts w:ascii="Times New Roman" w:hAnsi="Times New Roman"/>
          <w:bCs/>
          <w:lang w:eastAsia="et-EE"/>
        </w:rPr>
        <w:t xml:space="preserve"> Antud mõiste võib kattuda punktis 13 toodud teadusuuringute infrastruktuuri mõistega, kui</w:t>
      </w:r>
      <w:r w:rsidR="00E85214" w:rsidRPr="00A245DA">
        <w:rPr>
          <w:rFonts w:ascii="Times New Roman" w:hAnsi="Times New Roman"/>
          <w:bCs/>
          <w:lang w:eastAsia="et-EE"/>
        </w:rPr>
        <w:t>d</w:t>
      </w:r>
      <w:r w:rsidR="001A280B" w:rsidRPr="00A245DA">
        <w:rPr>
          <w:rFonts w:ascii="Times New Roman" w:hAnsi="Times New Roman"/>
          <w:bCs/>
          <w:lang w:eastAsia="et-EE"/>
        </w:rPr>
        <w:t xml:space="preserve"> punktis 13 nimetatud mõistet kasutatakse riigiabi esinemise korral.</w:t>
      </w:r>
    </w:p>
    <w:p w14:paraId="42A234E0" w14:textId="77777777" w:rsidR="003134C3" w:rsidRPr="00A245DA" w:rsidRDefault="003134C3" w:rsidP="002B20BB">
      <w:pPr>
        <w:spacing w:before="0" w:after="0"/>
        <w:rPr>
          <w:rFonts w:ascii="Times New Roman" w:hAnsi="Times New Roman"/>
          <w:bCs/>
          <w:lang w:eastAsia="et-EE"/>
        </w:rPr>
      </w:pPr>
    </w:p>
    <w:p w14:paraId="0043F567" w14:textId="4352ABA7" w:rsidR="002B20BB" w:rsidRPr="00A245DA" w:rsidRDefault="0015395F" w:rsidP="002B20BB">
      <w:pPr>
        <w:spacing w:before="0" w:after="0"/>
        <w:rPr>
          <w:rFonts w:ascii="Times New Roman" w:hAnsi="Times New Roman"/>
        </w:rPr>
      </w:pPr>
      <w:r w:rsidRPr="00A245DA">
        <w:rPr>
          <w:rFonts w:ascii="Times New Roman" w:hAnsi="Times New Roman"/>
          <w:bCs/>
          <w:lang w:eastAsia="et-EE"/>
        </w:rPr>
        <w:t xml:space="preserve">3) </w:t>
      </w:r>
      <w:r w:rsidR="003E6944" w:rsidRPr="00A245DA">
        <w:rPr>
          <w:rFonts w:ascii="Times New Roman" w:hAnsi="Times New Roman"/>
          <w:bCs/>
          <w:u w:val="single"/>
          <w:lang w:eastAsia="et-EE"/>
        </w:rPr>
        <w:t>N</w:t>
      </w:r>
      <w:r w:rsidR="00335FAA" w:rsidRPr="00A245DA">
        <w:rPr>
          <w:rFonts w:ascii="Times New Roman" w:hAnsi="Times New Roman"/>
          <w:bCs/>
          <w:u w:val="single"/>
          <w:lang w:eastAsia="et-EE"/>
        </w:rPr>
        <w:t>utika spetsialiseerumise kasvuvaldkon</w:t>
      </w:r>
      <w:r w:rsidR="003E6944" w:rsidRPr="00A245DA">
        <w:rPr>
          <w:rFonts w:ascii="Times New Roman" w:hAnsi="Times New Roman"/>
          <w:bCs/>
          <w:u w:val="single"/>
          <w:lang w:eastAsia="et-EE"/>
        </w:rPr>
        <w:t>dade</w:t>
      </w:r>
      <w:r w:rsidR="00335FAA" w:rsidRPr="00A245DA">
        <w:rPr>
          <w:rFonts w:ascii="Times New Roman" w:hAnsi="Times New Roman"/>
          <w:bCs/>
          <w:lang w:eastAsia="et-EE"/>
        </w:rPr>
        <w:t xml:space="preserve"> defineeri</w:t>
      </w:r>
      <w:r w:rsidR="003E6944" w:rsidRPr="00A245DA">
        <w:rPr>
          <w:rFonts w:ascii="Times New Roman" w:hAnsi="Times New Roman"/>
          <w:bCs/>
          <w:lang w:eastAsia="et-EE"/>
        </w:rPr>
        <w:t>mise vajadus tuleneb ASTRA toetuse andmise eesmärgist, milleks on teadus-</w:t>
      </w:r>
      <w:r w:rsidR="005D2D0E" w:rsidRPr="00A245DA">
        <w:rPr>
          <w:rFonts w:ascii="Times New Roman" w:hAnsi="Times New Roman"/>
          <w:bCs/>
          <w:lang w:eastAsia="et-EE"/>
        </w:rPr>
        <w:t xml:space="preserve"> </w:t>
      </w:r>
      <w:r w:rsidR="003E6944" w:rsidRPr="00A245DA">
        <w:rPr>
          <w:rFonts w:ascii="Times New Roman" w:hAnsi="Times New Roman"/>
          <w:bCs/>
          <w:lang w:eastAsia="et-EE"/>
        </w:rPr>
        <w:t xml:space="preserve">ja arendusasutuste ja kõrgkoolide konkurentsivõime ja ühiskonna </w:t>
      </w:r>
      <w:r w:rsidR="00B83593" w:rsidRPr="00A245DA">
        <w:rPr>
          <w:rFonts w:ascii="Times New Roman" w:hAnsi="Times New Roman"/>
          <w:bCs/>
          <w:lang w:eastAsia="et-EE"/>
        </w:rPr>
        <w:t>teenimise võimekuse kasv, sh nutika spetsialiseerumise kasvuvaldkondades.</w:t>
      </w:r>
      <w:r w:rsidR="00335FAA" w:rsidRPr="00A245DA">
        <w:rPr>
          <w:rFonts w:ascii="Times New Roman" w:hAnsi="Times New Roman"/>
          <w:bCs/>
          <w:lang w:eastAsia="et-EE"/>
        </w:rPr>
        <w:t xml:space="preserve"> </w:t>
      </w:r>
      <w:r w:rsidR="00B83593" w:rsidRPr="00A245DA">
        <w:rPr>
          <w:rFonts w:ascii="Times New Roman" w:hAnsi="Times New Roman"/>
          <w:bCs/>
          <w:lang w:eastAsia="et-EE"/>
        </w:rPr>
        <w:t xml:space="preserve">Nutika spetsialiseerumise strateegilise raamistiku moodustavad </w:t>
      </w:r>
      <w:r w:rsidR="00335FAA" w:rsidRPr="00A245DA">
        <w:rPr>
          <w:rFonts w:ascii="Times New Roman" w:hAnsi="Times New Roman"/>
          <w:bCs/>
          <w:lang w:eastAsia="et-EE"/>
        </w:rPr>
        <w:t>Eesti teadus- ja arendustegevuse ning innovatsiooni strateegia „Teadmistepõhine Eesti 2014-2020“</w:t>
      </w:r>
      <w:r w:rsidR="00B83593" w:rsidRPr="00A245DA">
        <w:rPr>
          <w:rFonts w:ascii="Times New Roman" w:hAnsi="Times New Roman"/>
          <w:bCs/>
          <w:lang w:eastAsia="et-EE"/>
        </w:rPr>
        <w:t xml:space="preserve"> ja </w:t>
      </w:r>
      <w:r w:rsidR="00B83593" w:rsidRPr="00A245DA">
        <w:rPr>
          <w:rFonts w:ascii="Times New Roman" w:hAnsi="Times New Roman"/>
        </w:rPr>
        <w:t xml:space="preserve">„Eesti ettevõtluse kasvustrateegia 2014-2020“. Nutika spetsialiseerumise toetamine on ka üheks Euroopa Komisjoni poolt seatud raamtingimuseks, mida toetuse andmise tingimuste väljatöötamisel on arvestatud. </w:t>
      </w:r>
      <w:r w:rsidR="008C5D4B" w:rsidRPr="00A245DA">
        <w:rPr>
          <w:rFonts w:ascii="Times New Roman" w:hAnsi="Times New Roman"/>
        </w:rPr>
        <w:t>Sellest tulenevalt antakse t</w:t>
      </w:r>
      <w:r w:rsidR="00B83593" w:rsidRPr="00A245DA">
        <w:rPr>
          <w:rFonts w:ascii="Times New Roman" w:hAnsi="Times New Roman"/>
        </w:rPr>
        <w:t>oetust kooskõlas nutika spetsialiseerumise strateegilise raamistikuga ning panust nutika spetsialiseerumise kasvuvaldkondade arenguvajaduste katmisse arvestatakse ettepanekute hindamisel.</w:t>
      </w:r>
      <w:r w:rsidR="002B20BB" w:rsidRPr="00A245DA">
        <w:rPr>
          <w:rFonts w:ascii="Times New Roman" w:hAnsi="Times New Roman"/>
        </w:rPr>
        <w:t xml:space="preserve"> Vastavalt strateegiatele on nutika spetsialiseerumise kasvualad:</w:t>
      </w:r>
    </w:p>
    <w:p w14:paraId="4A2A319B" w14:textId="3B762F75" w:rsidR="002B20BB" w:rsidRPr="00A245DA" w:rsidRDefault="002B20BB" w:rsidP="002B20BB">
      <w:pPr>
        <w:spacing w:before="0" w:after="0"/>
        <w:rPr>
          <w:rFonts w:ascii="Times New Roman" w:hAnsi="Times New Roman"/>
        </w:rPr>
      </w:pPr>
      <w:r w:rsidRPr="00A245DA">
        <w:rPr>
          <w:rFonts w:ascii="Times New Roman" w:hAnsi="Times New Roman"/>
        </w:rPr>
        <w:t>1)</w:t>
      </w:r>
      <w:r w:rsidRPr="00A245DA">
        <w:rPr>
          <w:rFonts w:ascii="Times New Roman" w:hAnsi="Times New Roman"/>
        </w:rPr>
        <w:tab/>
      </w:r>
      <w:r w:rsidR="003134C3" w:rsidRPr="00A245DA">
        <w:rPr>
          <w:rFonts w:ascii="Times New Roman" w:hAnsi="Times New Roman"/>
        </w:rPr>
        <w:t>i</w:t>
      </w:r>
      <w:r w:rsidRPr="00A245DA">
        <w:rPr>
          <w:rFonts w:ascii="Times New Roman" w:hAnsi="Times New Roman"/>
        </w:rPr>
        <w:t>nfo- ja kommunikatsioonitehnoloogia (IKT) horisontaalselt läbi teiste sektorite;</w:t>
      </w:r>
    </w:p>
    <w:p w14:paraId="4FBDE233" w14:textId="7702BB99" w:rsidR="002B20BB" w:rsidRPr="00A245DA" w:rsidRDefault="002B20BB" w:rsidP="002B20BB">
      <w:pPr>
        <w:spacing w:before="0" w:after="0"/>
        <w:rPr>
          <w:rFonts w:ascii="Times New Roman" w:hAnsi="Times New Roman"/>
        </w:rPr>
      </w:pPr>
      <w:r w:rsidRPr="00A245DA">
        <w:rPr>
          <w:rFonts w:ascii="Times New Roman" w:hAnsi="Times New Roman"/>
        </w:rPr>
        <w:t>2)</w:t>
      </w:r>
      <w:r w:rsidRPr="00A245DA">
        <w:rPr>
          <w:rFonts w:ascii="Times New Roman" w:hAnsi="Times New Roman"/>
        </w:rPr>
        <w:tab/>
      </w:r>
      <w:r w:rsidR="003134C3" w:rsidRPr="00A245DA">
        <w:rPr>
          <w:rFonts w:ascii="Times New Roman" w:hAnsi="Times New Roman"/>
        </w:rPr>
        <w:t>t</w:t>
      </w:r>
      <w:r w:rsidRPr="00A245DA">
        <w:rPr>
          <w:rFonts w:ascii="Times New Roman" w:hAnsi="Times New Roman"/>
        </w:rPr>
        <w:t xml:space="preserve">ervisetehnoloogiad ja –teenused; </w:t>
      </w:r>
    </w:p>
    <w:p w14:paraId="1F3B6C16" w14:textId="44FECF2F" w:rsidR="00335FAA" w:rsidRPr="00A245DA" w:rsidRDefault="002B20BB" w:rsidP="002B20BB">
      <w:pPr>
        <w:spacing w:before="0" w:after="0"/>
        <w:rPr>
          <w:rFonts w:ascii="Times New Roman" w:hAnsi="Times New Roman"/>
        </w:rPr>
      </w:pPr>
      <w:r w:rsidRPr="00A245DA">
        <w:rPr>
          <w:rFonts w:ascii="Times New Roman" w:hAnsi="Times New Roman"/>
        </w:rPr>
        <w:t>3)</w:t>
      </w:r>
      <w:r w:rsidRPr="00A245DA">
        <w:rPr>
          <w:rFonts w:ascii="Times New Roman" w:hAnsi="Times New Roman"/>
        </w:rPr>
        <w:tab/>
      </w:r>
      <w:r w:rsidR="003134C3" w:rsidRPr="00A245DA">
        <w:rPr>
          <w:rFonts w:ascii="Times New Roman" w:hAnsi="Times New Roman"/>
        </w:rPr>
        <w:t>r</w:t>
      </w:r>
      <w:r w:rsidRPr="00A245DA">
        <w:rPr>
          <w:rFonts w:ascii="Times New Roman" w:hAnsi="Times New Roman"/>
        </w:rPr>
        <w:t>essursside efektiivsem kasutamine.</w:t>
      </w:r>
    </w:p>
    <w:p w14:paraId="6314896E" w14:textId="77777777" w:rsidR="002B20BB" w:rsidRPr="00A245DA" w:rsidRDefault="002B20BB" w:rsidP="002B20BB">
      <w:pPr>
        <w:spacing w:before="0" w:after="0"/>
        <w:rPr>
          <w:rFonts w:ascii="Times New Roman" w:hAnsi="Times New Roman"/>
          <w:bCs/>
          <w:lang w:eastAsia="et-EE"/>
        </w:rPr>
      </w:pPr>
    </w:p>
    <w:p w14:paraId="4AC15E85" w14:textId="4395D84D" w:rsidR="00335FAA" w:rsidRPr="00A245DA" w:rsidRDefault="008C5D4B" w:rsidP="002B20BB">
      <w:pPr>
        <w:spacing w:before="0" w:after="0"/>
        <w:rPr>
          <w:rFonts w:ascii="Times New Roman" w:hAnsi="Times New Roman"/>
          <w:bCs/>
          <w:lang w:eastAsia="et-EE"/>
        </w:rPr>
      </w:pPr>
      <w:r w:rsidRPr="00A245DA">
        <w:rPr>
          <w:rFonts w:ascii="Times New Roman" w:hAnsi="Times New Roman"/>
          <w:bCs/>
          <w:lang w:eastAsia="et-EE"/>
        </w:rPr>
        <w:t xml:space="preserve">4) </w:t>
      </w:r>
      <w:r w:rsidR="00B83593" w:rsidRPr="00A245DA">
        <w:rPr>
          <w:rFonts w:ascii="Times New Roman" w:hAnsi="Times New Roman"/>
          <w:bCs/>
          <w:u w:val="single"/>
          <w:lang w:eastAsia="et-EE"/>
        </w:rPr>
        <w:t>D</w:t>
      </w:r>
      <w:r w:rsidR="00335FAA" w:rsidRPr="00A245DA">
        <w:rPr>
          <w:rFonts w:ascii="Times New Roman" w:hAnsi="Times New Roman"/>
          <w:bCs/>
          <w:u w:val="single"/>
          <w:lang w:eastAsia="et-EE"/>
        </w:rPr>
        <w:t>oktorikool</w:t>
      </w:r>
      <w:r w:rsidR="00B83593" w:rsidRPr="00A245DA">
        <w:rPr>
          <w:rFonts w:ascii="Times New Roman" w:hAnsi="Times New Roman"/>
          <w:bCs/>
          <w:u w:val="single"/>
          <w:lang w:eastAsia="et-EE"/>
        </w:rPr>
        <w:t>i</w:t>
      </w:r>
      <w:r w:rsidR="00335FAA" w:rsidRPr="00A245DA">
        <w:rPr>
          <w:rFonts w:ascii="Times New Roman" w:hAnsi="Times New Roman"/>
          <w:bCs/>
          <w:lang w:eastAsia="et-EE"/>
        </w:rPr>
        <w:t xml:space="preserve"> </w:t>
      </w:r>
      <w:r w:rsidR="00B83593" w:rsidRPr="00A245DA">
        <w:rPr>
          <w:rFonts w:ascii="Times New Roman" w:hAnsi="Times New Roman"/>
          <w:bCs/>
          <w:lang w:eastAsia="et-EE"/>
        </w:rPr>
        <w:t xml:space="preserve">defineerimine on määruse raames vajalik, kuna seostub ühe </w:t>
      </w:r>
      <w:r w:rsidRPr="00A245DA">
        <w:rPr>
          <w:rFonts w:ascii="Times New Roman" w:hAnsi="Times New Roman"/>
          <w:bCs/>
          <w:lang w:eastAsia="et-EE"/>
        </w:rPr>
        <w:t xml:space="preserve">ASTRA raames </w:t>
      </w:r>
      <w:r w:rsidR="00B83593" w:rsidRPr="00A245DA">
        <w:rPr>
          <w:rFonts w:ascii="Times New Roman" w:hAnsi="Times New Roman"/>
          <w:bCs/>
          <w:lang w:eastAsia="et-EE"/>
        </w:rPr>
        <w:t>toetatava tegevusega (§ 6 lg 1 p 4)</w:t>
      </w:r>
      <w:r w:rsidR="00901CA9" w:rsidRPr="00A245DA">
        <w:rPr>
          <w:rFonts w:ascii="Times New Roman" w:hAnsi="Times New Roman"/>
          <w:bCs/>
          <w:lang w:eastAsia="et-EE"/>
        </w:rPr>
        <w:t xml:space="preserve"> – doktoriõppe efektiivsuse ja kvaliteedi tõstmine</w:t>
      </w:r>
      <w:r w:rsidR="00B83593" w:rsidRPr="00A245DA">
        <w:rPr>
          <w:rFonts w:ascii="Times New Roman" w:hAnsi="Times New Roman"/>
          <w:bCs/>
          <w:lang w:eastAsia="et-EE"/>
        </w:rPr>
        <w:t xml:space="preserve">, mida võidakse ellu viia doktorikoolide kaudu. Definitsioon sätestab sel juhul doktorikoolide ühe peamise alustingimuse – kohustuse viia doktorikoolide kaudu tegevusi ellu mitme asutuse koostöös. </w:t>
      </w:r>
      <w:r w:rsidR="00401922" w:rsidRPr="00A245DA">
        <w:rPr>
          <w:rFonts w:ascii="Times New Roman" w:hAnsi="Times New Roman"/>
          <w:bCs/>
          <w:lang w:eastAsia="et-EE"/>
        </w:rPr>
        <w:t xml:space="preserve">Doktorikoolide tegevust </w:t>
      </w:r>
      <w:r w:rsidRPr="00A245DA">
        <w:rPr>
          <w:rFonts w:ascii="Times New Roman" w:hAnsi="Times New Roman"/>
          <w:bCs/>
          <w:lang w:eastAsia="et-EE"/>
        </w:rPr>
        <w:t>on toetatud</w:t>
      </w:r>
      <w:r w:rsidR="00401922" w:rsidRPr="00A245DA">
        <w:rPr>
          <w:rFonts w:ascii="Times New Roman" w:hAnsi="Times New Roman"/>
          <w:bCs/>
          <w:lang w:eastAsia="et-EE"/>
        </w:rPr>
        <w:t xml:space="preserve"> </w:t>
      </w:r>
      <w:r w:rsidR="00B83593" w:rsidRPr="00A245DA">
        <w:rPr>
          <w:rFonts w:ascii="Times New Roman" w:hAnsi="Times New Roman"/>
          <w:bCs/>
          <w:lang w:eastAsia="et-EE"/>
        </w:rPr>
        <w:t>perioodi 2007-2013</w:t>
      </w:r>
      <w:r w:rsidR="00401922" w:rsidRPr="00A245DA">
        <w:rPr>
          <w:rFonts w:ascii="Times New Roman" w:hAnsi="Times New Roman"/>
          <w:bCs/>
          <w:lang w:eastAsia="et-EE"/>
        </w:rPr>
        <w:t xml:space="preserve"> meetme „</w:t>
      </w:r>
      <w:r w:rsidR="00401922" w:rsidRPr="00A245DA">
        <w:rPr>
          <w:rFonts w:ascii="Times New Roman" w:hAnsi="Times New Roman"/>
        </w:rPr>
        <w:t>Kõrgkoolide koostöö ja innovatsiooni arendamine“ alameetme raames</w:t>
      </w:r>
      <w:r w:rsidR="00401922" w:rsidRPr="00A245DA">
        <w:rPr>
          <w:rFonts w:ascii="Times New Roman" w:hAnsi="Times New Roman"/>
          <w:bCs/>
          <w:lang w:eastAsia="et-EE"/>
        </w:rPr>
        <w:t xml:space="preserve">, ent käesoleva määruse raames on määratlust võrreldes perioodiga 2007-2013 </w:t>
      </w:r>
      <w:r w:rsidRPr="00A245DA">
        <w:rPr>
          <w:rFonts w:ascii="Times New Roman" w:hAnsi="Times New Roman"/>
          <w:bCs/>
          <w:lang w:eastAsia="et-EE"/>
        </w:rPr>
        <w:t xml:space="preserve">tingimuste osas </w:t>
      </w:r>
      <w:r w:rsidR="00401922" w:rsidRPr="00A245DA">
        <w:rPr>
          <w:rFonts w:ascii="Times New Roman" w:hAnsi="Times New Roman"/>
          <w:bCs/>
          <w:lang w:eastAsia="et-EE"/>
        </w:rPr>
        <w:t>täpsustatud.</w:t>
      </w:r>
      <w:r w:rsidR="00B216D0" w:rsidRPr="00A245DA">
        <w:rPr>
          <w:rFonts w:ascii="Times New Roman" w:hAnsi="Times New Roman"/>
          <w:bCs/>
          <w:lang w:eastAsia="et-EE"/>
        </w:rPr>
        <w:t xml:space="preserve"> </w:t>
      </w:r>
      <w:r w:rsidR="002B20BB" w:rsidRPr="00A245DA">
        <w:rPr>
          <w:rFonts w:ascii="Times New Roman" w:hAnsi="Times New Roman"/>
          <w:bCs/>
          <w:lang w:eastAsia="et-EE"/>
        </w:rPr>
        <w:t>Doktorikooli tegevustele toetuse saamise eeltingimuseks on asutustevaheline eelkokkulepe.</w:t>
      </w:r>
    </w:p>
    <w:p w14:paraId="7D01A2AF" w14:textId="704BC76E" w:rsidR="00335FAA" w:rsidRPr="00A245DA" w:rsidRDefault="00B216D0" w:rsidP="00193EF4">
      <w:pPr>
        <w:spacing w:after="0"/>
        <w:rPr>
          <w:rFonts w:ascii="Times New Roman" w:hAnsi="Times New Roman"/>
          <w:bCs/>
          <w:lang w:eastAsia="et-EE"/>
        </w:rPr>
      </w:pPr>
      <w:r w:rsidRPr="00A245DA">
        <w:rPr>
          <w:rFonts w:ascii="Times New Roman" w:hAnsi="Times New Roman"/>
        </w:rPr>
        <w:t>5</w:t>
      </w:r>
      <w:r w:rsidR="008C5D4B" w:rsidRPr="00A245DA">
        <w:rPr>
          <w:rFonts w:ascii="Times New Roman" w:hAnsi="Times New Roman"/>
        </w:rPr>
        <w:t xml:space="preserve">) </w:t>
      </w:r>
      <w:r w:rsidR="00193EF4" w:rsidRPr="00A245DA">
        <w:rPr>
          <w:rFonts w:ascii="Times New Roman" w:hAnsi="Times New Roman"/>
          <w:u w:val="single"/>
        </w:rPr>
        <w:t>T</w:t>
      </w:r>
      <w:r w:rsidR="00335FAA" w:rsidRPr="00A245DA">
        <w:rPr>
          <w:rFonts w:ascii="Times New Roman" w:hAnsi="Times New Roman"/>
          <w:u w:val="single"/>
        </w:rPr>
        <w:t>eadus- ja õppehoonete</w:t>
      </w:r>
      <w:r w:rsidR="00335FAA" w:rsidRPr="00A245DA">
        <w:rPr>
          <w:rFonts w:ascii="Times New Roman" w:hAnsi="Times New Roman"/>
          <w:bCs/>
          <w:u w:val="single"/>
        </w:rPr>
        <w:t xml:space="preserve"> </w:t>
      </w:r>
      <w:r w:rsidR="00E42F0F" w:rsidRPr="00A245DA">
        <w:rPr>
          <w:rFonts w:ascii="Times New Roman" w:hAnsi="Times New Roman"/>
          <w:bCs/>
          <w:u w:val="single"/>
        </w:rPr>
        <w:t xml:space="preserve">rajamine </w:t>
      </w:r>
      <w:r w:rsidR="00335FAA" w:rsidRPr="00A245DA">
        <w:rPr>
          <w:rFonts w:ascii="Times New Roman" w:hAnsi="Times New Roman"/>
          <w:bCs/>
        </w:rPr>
        <w:t xml:space="preserve"> </w:t>
      </w:r>
      <w:r w:rsidR="00193EF4" w:rsidRPr="00A245DA">
        <w:rPr>
          <w:rFonts w:ascii="Times New Roman" w:hAnsi="Times New Roman"/>
          <w:bCs/>
        </w:rPr>
        <w:t>on mõist</w:t>
      </w:r>
      <w:r w:rsidR="001F2095" w:rsidRPr="00A245DA">
        <w:rPr>
          <w:rFonts w:ascii="Times New Roman" w:hAnsi="Times New Roman"/>
          <w:bCs/>
        </w:rPr>
        <w:t>ena</w:t>
      </w:r>
      <w:r w:rsidR="00193EF4" w:rsidRPr="00A245DA">
        <w:rPr>
          <w:rFonts w:ascii="Times New Roman" w:hAnsi="Times New Roman"/>
          <w:bCs/>
        </w:rPr>
        <w:t xml:space="preserve"> sisse toodud, kuna</w:t>
      </w:r>
      <w:r w:rsidR="00193EF4" w:rsidRPr="00A245DA">
        <w:rPr>
          <w:rFonts w:ascii="Times New Roman" w:hAnsi="Times New Roman"/>
          <w:bCs/>
          <w:lang w:eastAsia="et-EE"/>
        </w:rPr>
        <w:t xml:space="preserve"> </w:t>
      </w:r>
      <w:r w:rsidR="001F2095" w:rsidRPr="00A245DA">
        <w:rPr>
          <w:rFonts w:ascii="Times New Roman" w:hAnsi="Times New Roman"/>
          <w:bCs/>
          <w:lang w:eastAsia="et-EE"/>
        </w:rPr>
        <w:t>puudutab</w:t>
      </w:r>
      <w:r w:rsidR="00193EF4" w:rsidRPr="00A245DA">
        <w:rPr>
          <w:rFonts w:ascii="Times New Roman" w:hAnsi="Times New Roman"/>
          <w:bCs/>
          <w:lang w:eastAsia="et-EE"/>
        </w:rPr>
        <w:t xml:space="preserve"> üh</w:t>
      </w:r>
      <w:r w:rsidR="001F2095" w:rsidRPr="00A245DA">
        <w:rPr>
          <w:rFonts w:ascii="Times New Roman" w:hAnsi="Times New Roman"/>
          <w:bCs/>
          <w:lang w:eastAsia="et-EE"/>
        </w:rPr>
        <w:t>t</w:t>
      </w:r>
      <w:r w:rsidR="00193EF4" w:rsidRPr="00A245DA">
        <w:rPr>
          <w:rFonts w:ascii="Times New Roman" w:hAnsi="Times New Roman"/>
          <w:bCs/>
          <w:lang w:eastAsia="et-EE"/>
        </w:rPr>
        <w:t xml:space="preserve"> </w:t>
      </w:r>
      <w:r w:rsidR="008C5D4B" w:rsidRPr="00A245DA">
        <w:rPr>
          <w:rFonts w:ascii="Times New Roman" w:hAnsi="Times New Roman"/>
          <w:bCs/>
          <w:lang w:eastAsia="et-EE"/>
        </w:rPr>
        <w:t xml:space="preserve">ASTRA raames </w:t>
      </w:r>
      <w:r w:rsidR="00193EF4" w:rsidRPr="00A245DA">
        <w:rPr>
          <w:rFonts w:ascii="Times New Roman" w:hAnsi="Times New Roman"/>
          <w:bCs/>
          <w:lang w:eastAsia="et-EE"/>
        </w:rPr>
        <w:t>toetatava</w:t>
      </w:r>
      <w:r w:rsidR="001F2095" w:rsidRPr="00A245DA">
        <w:rPr>
          <w:rFonts w:ascii="Times New Roman" w:hAnsi="Times New Roman"/>
          <w:bCs/>
          <w:lang w:eastAsia="et-EE"/>
        </w:rPr>
        <w:t>t</w:t>
      </w:r>
      <w:r w:rsidR="00193EF4" w:rsidRPr="00A245DA">
        <w:rPr>
          <w:rFonts w:ascii="Times New Roman" w:hAnsi="Times New Roman"/>
          <w:bCs/>
          <w:lang w:eastAsia="et-EE"/>
        </w:rPr>
        <w:t xml:space="preserve"> tegevus</w:t>
      </w:r>
      <w:r w:rsidR="001F2095" w:rsidRPr="00A245DA">
        <w:rPr>
          <w:rFonts w:ascii="Times New Roman" w:hAnsi="Times New Roman"/>
          <w:bCs/>
          <w:lang w:eastAsia="et-EE"/>
        </w:rPr>
        <w:t>t</w:t>
      </w:r>
      <w:r w:rsidR="00193EF4" w:rsidRPr="00A245DA">
        <w:rPr>
          <w:rFonts w:ascii="Times New Roman" w:hAnsi="Times New Roman"/>
          <w:bCs/>
          <w:lang w:eastAsia="et-EE"/>
        </w:rPr>
        <w:t xml:space="preserve"> (§ 6 lg 1 p 1) ning </w:t>
      </w:r>
      <w:r w:rsidR="001F2095" w:rsidRPr="00A245DA">
        <w:rPr>
          <w:rFonts w:ascii="Times New Roman" w:hAnsi="Times New Roman"/>
          <w:bCs/>
          <w:lang w:eastAsia="et-EE"/>
        </w:rPr>
        <w:t xml:space="preserve">kirjeldab seda, millised tegevused võivad </w:t>
      </w:r>
      <w:r w:rsidR="008C5D4B" w:rsidRPr="00A245DA">
        <w:rPr>
          <w:rFonts w:ascii="Times New Roman" w:hAnsi="Times New Roman"/>
          <w:bCs/>
          <w:lang w:eastAsia="et-EE"/>
        </w:rPr>
        <w:t xml:space="preserve">teadus- ja õppehoonete </w:t>
      </w:r>
      <w:r w:rsidR="00CE4559" w:rsidRPr="00A245DA">
        <w:rPr>
          <w:rFonts w:ascii="Times New Roman" w:hAnsi="Times New Roman"/>
          <w:bCs/>
          <w:lang w:eastAsia="et-EE"/>
        </w:rPr>
        <w:t xml:space="preserve">puhul </w:t>
      </w:r>
      <w:r w:rsidR="001F2095" w:rsidRPr="00A245DA">
        <w:rPr>
          <w:rFonts w:ascii="Times New Roman" w:hAnsi="Times New Roman"/>
          <w:bCs/>
          <w:lang w:eastAsia="et-EE"/>
        </w:rPr>
        <w:t xml:space="preserve">olla hõlmatud. </w:t>
      </w:r>
      <w:r w:rsidR="007552AB" w:rsidRPr="00A245DA">
        <w:rPr>
          <w:rFonts w:ascii="Times New Roman" w:hAnsi="Times New Roman"/>
          <w:bCs/>
          <w:lang w:eastAsia="et-EE"/>
        </w:rPr>
        <w:t>Antud määruses käsitletakse teadus- ja õppehoonete rajamist investeeringuna, mille puhul toetatavad projektid kinnita</w:t>
      </w:r>
      <w:r w:rsidR="00FD00A1" w:rsidRPr="00A245DA">
        <w:rPr>
          <w:rFonts w:ascii="Times New Roman" w:hAnsi="Times New Roman"/>
          <w:bCs/>
          <w:lang w:eastAsia="et-EE"/>
        </w:rPr>
        <w:t>takse</w:t>
      </w:r>
      <w:r w:rsidR="007552AB" w:rsidRPr="00A245DA">
        <w:rPr>
          <w:rFonts w:ascii="Times New Roman" w:hAnsi="Times New Roman"/>
          <w:bCs/>
          <w:lang w:eastAsia="et-EE"/>
        </w:rPr>
        <w:t xml:space="preserve"> Vabariigi Valitsuse poolt investeeringute kavana.</w:t>
      </w:r>
    </w:p>
    <w:p w14:paraId="7FBAB195" w14:textId="5787821E" w:rsidR="00B1151C" w:rsidRPr="00A245DA" w:rsidRDefault="00B1151C" w:rsidP="00193EF4">
      <w:pPr>
        <w:spacing w:after="0"/>
        <w:rPr>
          <w:rFonts w:ascii="Times New Roman" w:hAnsi="Times New Roman"/>
        </w:rPr>
      </w:pPr>
      <w:r w:rsidRPr="00A245DA">
        <w:rPr>
          <w:rFonts w:ascii="Times New Roman" w:hAnsi="Times New Roman"/>
        </w:rPr>
        <w:t xml:space="preserve">6) </w:t>
      </w:r>
      <w:r w:rsidRPr="00A245DA">
        <w:rPr>
          <w:rFonts w:ascii="Times New Roman" w:hAnsi="Times New Roman"/>
          <w:u w:val="single"/>
        </w:rPr>
        <w:t>Koostööpartner</w:t>
      </w:r>
      <w:r w:rsidRPr="00A245DA">
        <w:rPr>
          <w:rFonts w:ascii="Times New Roman" w:hAnsi="Times New Roman"/>
        </w:rPr>
        <w:t xml:space="preserve"> </w:t>
      </w:r>
      <w:r w:rsidR="00142E56" w:rsidRPr="00A245DA">
        <w:rPr>
          <w:rFonts w:ascii="Times New Roman" w:hAnsi="Times New Roman"/>
        </w:rPr>
        <w:t>–</w:t>
      </w:r>
      <w:r w:rsidRPr="00A245DA">
        <w:rPr>
          <w:rFonts w:ascii="Times New Roman" w:hAnsi="Times New Roman"/>
        </w:rPr>
        <w:t xml:space="preserve"> </w:t>
      </w:r>
      <w:r w:rsidR="00142E56" w:rsidRPr="00A245DA">
        <w:rPr>
          <w:rFonts w:ascii="Times New Roman" w:hAnsi="Times New Roman"/>
        </w:rPr>
        <w:t xml:space="preserve">eristamaks tegevustesse kaasatavat partnerit struktuuritoetuse seaduse kohaselt defineeritud partnerist, on määrusesse toodud koostööpartneri mõiste. Koostööpartner osaleb projekti tegevuste elluviimisel (nt doktorikoolide puhul), kuid tema kulusid sellest projektist ei hüvitata. </w:t>
      </w:r>
    </w:p>
    <w:p w14:paraId="1F4BB701" w14:textId="77777777" w:rsidR="001165EA" w:rsidRPr="00A245DA" w:rsidRDefault="003134C3" w:rsidP="007552AB">
      <w:pPr>
        <w:spacing w:after="0"/>
        <w:rPr>
          <w:rFonts w:ascii="Times New Roman" w:hAnsi="Times New Roman"/>
          <w:u w:val="single"/>
        </w:rPr>
      </w:pPr>
      <w:r w:rsidRPr="00A245DA">
        <w:rPr>
          <w:rFonts w:ascii="Times New Roman" w:hAnsi="Times New Roman"/>
          <w:u w:val="single"/>
        </w:rPr>
        <w:lastRenderedPageBreak/>
        <w:t>Punktides 7-</w:t>
      </w:r>
      <w:r w:rsidR="00D12F37" w:rsidRPr="00A245DA">
        <w:rPr>
          <w:rFonts w:ascii="Times New Roman" w:hAnsi="Times New Roman"/>
          <w:u w:val="single"/>
        </w:rPr>
        <w:t>10</w:t>
      </w:r>
      <w:r w:rsidRPr="00A245DA">
        <w:rPr>
          <w:rFonts w:ascii="Times New Roman" w:hAnsi="Times New Roman"/>
        </w:rPr>
        <w:t xml:space="preserve"> tuuakse selguse mõttes </w:t>
      </w:r>
      <w:r w:rsidR="0039386A" w:rsidRPr="00A245DA">
        <w:rPr>
          <w:rFonts w:ascii="Times New Roman" w:hAnsi="Times New Roman"/>
        </w:rPr>
        <w:t>ettepaneku</w:t>
      </w:r>
      <w:r w:rsidRPr="00A245DA">
        <w:rPr>
          <w:rFonts w:ascii="Times New Roman" w:hAnsi="Times New Roman"/>
        </w:rPr>
        <w:t>, projekti</w:t>
      </w:r>
      <w:r w:rsidR="007552AB" w:rsidRPr="00A245DA">
        <w:rPr>
          <w:rFonts w:ascii="Times New Roman" w:hAnsi="Times New Roman"/>
        </w:rPr>
        <w:t>,</w:t>
      </w:r>
      <w:r w:rsidRPr="00A245DA">
        <w:rPr>
          <w:rFonts w:ascii="Times New Roman" w:hAnsi="Times New Roman"/>
        </w:rPr>
        <w:t xml:space="preserve"> taotluse </w:t>
      </w:r>
      <w:r w:rsidR="007552AB" w:rsidRPr="00A245DA">
        <w:rPr>
          <w:rFonts w:ascii="Times New Roman" w:hAnsi="Times New Roman"/>
        </w:rPr>
        <w:t xml:space="preserve">ja tegevuskava </w:t>
      </w:r>
      <w:r w:rsidRPr="00A245DA">
        <w:rPr>
          <w:rFonts w:ascii="Times New Roman" w:hAnsi="Times New Roman"/>
        </w:rPr>
        <w:t xml:space="preserve">määratlus. </w:t>
      </w:r>
      <w:r w:rsidR="00B90062" w:rsidRPr="00A245DA">
        <w:rPr>
          <w:rFonts w:ascii="Times New Roman" w:hAnsi="Times New Roman"/>
        </w:rPr>
        <w:t>E</w:t>
      </w:r>
      <w:r w:rsidRPr="00A245DA">
        <w:rPr>
          <w:rFonts w:ascii="Times New Roman" w:hAnsi="Times New Roman"/>
        </w:rPr>
        <w:t xml:space="preserve">ttepanek </w:t>
      </w:r>
      <w:r w:rsidR="0039386A" w:rsidRPr="00A245DA">
        <w:rPr>
          <w:rFonts w:ascii="Times New Roman" w:hAnsi="Times New Roman"/>
        </w:rPr>
        <w:t>on</w:t>
      </w:r>
      <w:r w:rsidRPr="00A245DA">
        <w:rPr>
          <w:rFonts w:ascii="Times New Roman" w:hAnsi="Times New Roman"/>
        </w:rPr>
        <w:t xml:space="preserve"> </w:t>
      </w:r>
      <w:r w:rsidR="0039386A" w:rsidRPr="00A245DA">
        <w:rPr>
          <w:rFonts w:ascii="Times New Roman" w:hAnsi="Times New Roman"/>
        </w:rPr>
        <w:t xml:space="preserve">kavand asutuse strateegilise arendamise toetamiseks, mis </w:t>
      </w:r>
      <w:r w:rsidR="00B90062" w:rsidRPr="00A245DA">
        <w:rPr>
          <w:rFonts w:ascii="Times New Roman" w:hAnsi="Times New Roman"/>
        </w:rPr>
        <w:t xml:space="preserve">võib </w:t>
      </w:r>
      <w:r w:rsidR="007552AB" w:rsidRPr="00A245DA">
        <w:rPr>
          <w:rFonts w:ascii="Times New Roman" w:hAnsi="Times New Roman"/>
        </w:rPr>
        <w:t xml:space="preserve">muuhulgas </w:t>
      </w:r>
      <w:r w:rsidR="0039386A" w:rsidRPr="00A245DA">
        <w:rPr>
          <w:rFonts w:ascii="Times New Roman" w:hAnsi="Times New Roman"/>
        </w:rPr>
        <w:t>sisalda</w:t>
      </w:r>
      <w:r w:rsidR="00B90062" w:rsidRPr="00A245DA">
        <w:rPr>
          <w:rFonts w:ascii="Times New Roman" w:hAnsi="Times New Roman"/>
        </w:rPr>
        <w:t>da</w:t>
      </w:r>
      <w:r w:rsidR="0039386A" w:rsidRPr="00A245DA">
        <w:rPr>
          <w:rFonts w:ascii="Times New Roman" w:hAnsi="Times New Roman"/>
        </w:rPr>
        <w:t xml:space="preserve"> investeeringuid teadus- ja õppehoonete rajamisse</w:t>
      </w:r>
      <w:r w:rsidRPr="00A245DA">
        <w:rPr>
          <w:rFonts w:ascii="Times New Roman" w:hAnsi="Times New Roman"/>
        </w:rPr>
        <w:t>.</w:t>
      </w:r>
      <w:r w:rsidR="0039386A" w:rsidRPr="00A245DA">
        <w:rPr>
          <w:rFonts w:ascii="Times New Roman" w:hAnsi="Times New Roman"/>
        </w:rPr>
        <w:t xml:space="preserve"> Esitatavad ettepanekud sisaldavad kavandatavat projekti.</w:t>
      </w:r>
      <w:r w:rsidRPr="00A245DA">
        <w:rPr>
          <w:rFonts w:ascii="Times New Roman" w:hAnsi="Times New Roman"/>
        </w:rPr>
        <w:t xml:space="preserve"> ASTRA raames toetatavad projektid kinnitatakse </w:t>
      </w:r>
      <w:r w:rsidR="0039386A" w:rsidRPr="00A245DA">
        <w:rPr>
          <w:rFonts w:ascii="Times New Roman" w:hAnsi="Times New Roman"/>
        </w:rPr>
        <w:t xml:space="preserve">kas </w:t>
      </w:r>
      <w:r w:rsidR="0053116B" w:rsidRPr="00A245DA">
        <w:rPr>
          <w:rFonts w:ascii="Times New Roman" w:hAnsi="Times New Roman"/>
        </w:rPr>
        <w:t xml:space="preserve">Vabariigi Valitsuse poolt </w:t>
      </w:r>
      <w:r w:rsidRPr="00A245DA">
        <w:rPr>
          <w:rFonts w:ascii="Times New Roman" w:hAnsi="Times New Roman"/>
        </w:rPr>
        <w:t xml:space="preserve">investeeringute kavas </w:t>
      </w:r>
      <w:r w:rsidR="0039386A" w:rsidRPr="00A245DA">
        <w:rPr>
          <w:rFonts w:ascii="Times New Roman" w:hAnsi="Times New Roman"/>
        </w:rPr>
        <w:t>(juhul, kui need sisaldavad investeeringuid teadus- ja õppehoonete rajamisse) või kiidetakse heaks hindamiskomisjoni poolt</w:t>
      </w:r>
      <w:r w:rsidR="00E755E6" w:rsidRPr="00A245DA">
        <w:rPr>
          <w:rFonts w:ascii="Times New Roman" w:hAnsi="Times New Roman"/>
        </w:rPr>
        <w:t xml:space="preserve"> (juhul, kui ei sisalda investeeringuid teadus- ja õppehoonete rajamisse)</w:t>
      </w:r>
      <w:r w:rsidR="0039386A" w:rsidRPr="00A245DA">
        <w:rPr>
          <w:rFonts w:ascii="Times New Roman" w:hAnsi="Times New Roman"/>
        </w:rPr>
        <w:t>. Mõlemal juhul esitatakse pärast investeerin</w:t>
      </w:r>
      <w:r w:rsidR="0078448E" w:rsidRPr="00A245DA">
        <w:rPr>
          <w:rFonts w:ascii="Times New Roman" w:hAnsi="Times New Roman"/>
        </w:rPr>
        <w:t>g</w:t>
      </w:r>
      <w:r w:rsidR="0039386A" w:rsidRPr="00A245DA">
        <w:rPr>
          <w:rFonts w:ascii="Times New Roman" w:hAnsi="Times New Roman"/>
        </w:rPr>
        <w:t>ute kava kinnitamist või hindamiskomisjoni heakskiitu rakendusüksusele</w:t>
      </w:r>
      <w:r w:rsidRPr="00A245DA">
        <w:rPr>
          <w:rFonts w:ascii="Times New Roman" w:hAnsi="Times New Roman"/>
        </w:rPr>
        <w:t xml:space="preserve"> taotlus</w:t>
      </w:r>
      <w:r w:rsidR="0078448E" w:rsidRPr="00A245DA">
        <w:rPr>
          <w:rFonts w:ascii="Times New Roman" w:hAnsi="Times New Roman"/>
        </w:rPr>
        <w:t xml:space="preserve"> toetuse saamiseks</w:t>
      </w:r>
      <w:r w:rsidRPr="00A245DA">
        <w:rPr>
          <w:rFonts w:ascii="Times New Roman" w:hAnsi="Times New Roman"/>
        </w:rPr>
        <w:t>.</w:t>
      </w:r>
      <w:r w:rsidR="007552AB" w:rsidRPr="00A245DA">
        <w:rPr>
          <w:rFonts w:ascii="Times New Roman" w:hAnsi="Times New Roman"/>
        </w:rPr>
        <w:t xml:space="preserve"> Taotlejad peavad igal aastal esitama rakendusüksusele t</w:t>
      </w:r>
      <w:r w:rsidR="007552AB" w:rsidRPr="00A245DA">
        <w:rPr>
          <w:rFonts w:ascii="Times New Roman" w:hAnsi="Times New Roman"/>
          <w:u w:val="single"/>
        </w:rPr>
        <w:t>egevuste ajakava koos aastase eelarvega.</w:t>
      </w:r>
    </w:p>
    <w:p w14:paraId="112F2289" w14:textId="36B86D6B" w:rsidR="007552AB" w:rsidRPr="00A245DA" w:rsidRDefault="007552AB" w:rsidP="007552AB">
      <w:pPr>
        <w:spacing w:after="0"/>
        <w:rPr>
          <w:rFonts w:ascii="Times New Roman" w:hAnsi="Times New Roman"/>
        </w:rPr>
      </w:pPr>
      <w:r w:rsidRPr="00A245DA">
        <w:rPr>
          <w:rFonts w:ascii="Times New Roman" w:hAnsi="Times New Roman"/>
          <w:u w:val="single"/>
        </w:rPr>
        <w:t>Punktides 11 ja 12</w:t>
      </w:r>
      <w:r w:rsidRPr="00A245DA">
        <w:rPr>
          <w:rFonts w:ascii="Times New Roman" w:hAnsi="Times New Roman"/>
        </w:rPr>
        <w:t xml:space="preserve"> defineeritakse välisõppejõu ja välisteadlase mõisted eesmärgiga nimetada välisõppejõududeks ja –teadlasteks neid asutustes töötavaid isikuid, kes on kaasatud uute töötajatena rahvusvahelistumise edendamiseks. Eesmärgiks on toetada uute inimeste kaasamist välisõppejõudude ja –teadlastena. Definitsioon peaks välistama, et välisõppejõududeks- ja –teadlasteks loetakse neid õppejõude ja teadlasi, kelle kaasamist on rahastatud välismaise kompetentsi kaasamiseks perioodi</w:t>
      </w:r>
      <w:r w:rsidR="00D45A35" w:rsidRPr="00A245DA">
        <w:rPr>
          <w:rFonts w:ascii="Times New Roman" w:hAnsi="Times New Roman"/>
        </w:rPr>
        <w:t>l</w:t>
      </w:r>
      <w:r w:rsidRPr="00A245DA">
        <w:rPr>
          <w:rFonts w:ascii="Times New Roman" w:hAnsi="Times New Roman"/>
        </w:rPr>
        <w:t xml:space="preserve"> 2007-2014</w:t>
      </w:r>
      <w:r w:rsidR="00D45A35" w:rsidRPr="00A245DA">
        <w:rPr>
          <w:rFonts w:ascii="Times New Roman" w:hAnsi="Times New Roman"/>
        </w:rPr>
        <w:t xml:space="preserve"> nt</w:t>
      </w:r>
      <w:r w:rsidRPr="00A245DA">
        <w:rPr>
          <w:rFonts w:ascii="Times New Roman" w:hAnsi="Times New Roman"/>
        </w:rPr>
        <w:t xml:space="preserve"> doktoriõppe ja rahvusvahelistumise programmi „DoRa“ või teadlasmobiilsuse programmi „Mobilitas“ toel ning keda on eelneval </w:t>
      </w:r>
      <w:r w:rsidR="00D45A35" w:rsidRPr="00A245DA">
        <w:rPr>
          <w:rFonts w:ascii="Times New Roman" w:hAnsi="Times New Roman"/>
        </w:rPr>
        <w:t xml:space="preserve">tõukefondide </w:t>
      </w:r>
      <w:r w:rsidRPr="00A245DA">
        <w:rPr>
          <w:rFonts w:ascii="Times New Roman" w:hAnsi="Times New Roman"/>
        </w:rPr>
        <w:t>perioodil arvestatud välisõppejõu või –teadlasena.</w:t>
      </w:r>
    </w:p>
    <w:p w14:paraId="0342CD76" w14:textId="736FD435" w:rsidR="00552985" w:rsidRPr="00A245DA" w:rsidRDefault="00552985" w:rsidP="001165EA">
      <w:pPr>
        <w:spacing w:before="100" w:beforeAutospacing="1" w:after="0"/>
        <w:rPr>
          <w:rFonts w:ascii="Times New Roman" w:hAnsi="Times New Roman"/>
          <w:bCs/>
        </w:rPr>
      </w:pPr>
      <w:r w:rsidRPr="00A245DA">
        <w:rPr>
          <w:rFonts w:ascii="Times New Roman" w:hAnsi="Times New Roman"/>
          <w:u w:val="single"/>
        </w:rPr>
        <w:t xml:space="preserve">Punktis </w:t>
      </w:r>
      <w:r w:rsidR="001A280B" w:rsidRPr="00A245DA">
        <w:rPr>
          <w:rFonts w:ascii="Times New Roman" w:hAnsi="Times New Roman"/>
          <w:u w:val="single"/>
        </w:rPr>
        <w:t xml:space="preserve">13 </w:t>
      </w:r>
      <w:r w:rsidRPr="00A245DA">
        <w:rPr>
          <w:rFonts w:ascii="Times New Roman" w:hAnsi="Times New Roman"/>
        </w:rPr>
        <w:t xml:space="preserve">on toodud </w:t>
      </w:r>
      <w:r w:rsidR="00720F1F" w:rsidRPr="00A245DA">
        <w:rPr>
          <w:rFonts w:ascii="Times New Roman" w:hAnsi="Times New Roman"/>
        </w:rPr>
        <w:t xml:space="preserve">teadusuuringute </w:t>
      </w:r>
      <w:r w:rsidR="00864AB9" w:rsidRPr="00A245DA">
        <w:rPr>
          <w:rFonts w:ascii="Times New Roman" w:hAnsi="Times New Roman"/>
        </w:rPr>
        <w:t>infrastruktuuri</w:t>
      </w:r>
      <w:r w:rsidRPr="00A245DA">
        <w:rPr>
          <w:rFonts w:ascii="Times New Roman" w:hAnsi="Times New Roman"/>
        </w:rPr>
        <w:t xml:space="preserve"> mõiste, mis vastab üldise grupierandi määruse artikli 2 punktis 91 toodud definitsioonile. </w:t>
      </w:r>
      <w:r w:rsidR="00720F1F" w:rsidRPr="00A245DA">
        <w:rPr>
          <w:rFonts w:ascii="Times New Roman" w:hAnsi="Times New Roman"/>
        </w:rPr>
        <w:t>Nimetatud punkti kohaselt</w:t>
      </w:r>
      <w:r w:rsidRPr="00A245DA">
        <w:rPr>
          <w:rFonts w:ascii="Times New Roman" w:hAnsi="Times New Roman"/>
        </w:rPr>
        <w:t xml:space="preserve"> </w:t>
      </w:r>
      <w:r w:rsidR="00720F1F" w:rsidRPr="00A245DA">
        <w:rPr>
          <w:rFonts w:ascii="Times New Roman" w:hAnsi="Times New Roman"/>
        </w:rPr>
        <w:t>on teadusuuringute taristu</w:t>
      </w:r>
      <w:r w:rsidRPr="00A245DA">
        <w:rPr>
          <w:rFonts w:ascii="Times New Roman" w:hAnsi="Times New Roman"/>
        </w:rPr>
        <w:t xml:space="preserve"> rajatised, vahendid ja nendega seotud teenused, mida teadusringkonnad kasutavad</w:t>
      </w:r>
      <w:r w:rsidR="00720F1F" w:rsidRPr="00A245DA">
        <w:rPr>
          <w:rFonts w:ascii="Times New Roman" w:hAnsi="Times New Roman"/>
        </w:rPr>
        <w:t xml:space="preserve"> </w:t>
      </w:r>
      <w:r w:rsidRPr="00A245DA">
        <w:rPr>
          <w:rFonts w:ascii="Times New Roman" w:hAnsi="Times New Roman"/>
        </w:rPr>
        <w:t>teadusuuringuteks vastavates valdkondades. Mõiste hõlmab järgmist: teadusseadmed ja uurimistarbed, teadmistepõhised</w:t>
      </w:r>
      <w:r w:rsidR="00720F1F" w:rsidRPr="00A245DA">
        <w:rPr>
          <w:rFonts w:ascii="Times New Roman" w:hAnsi="Times New Roman"/>
        </w:rPr>
        <w:t xml:space="preserve"> </w:t>
      </w:r>
      <w:r w:rsidRPr="00A245DA">
        <w:rPr>
          <w:rFonts w:ascii="Times New Roman" w:hAnsi="Times New Roman"/>
        </w:rPr>
        <w:t>ressursid, näiteks kollektsioonid, arhiivid ja struktureeritud teaduslik teave, info- ja kommunikatsioonitehnoloogial</w:t>
      </w:r>
      <w:r w:rsidR="00720F1F" w:rsidRPr="00A245DA">
        <w:rPr>
          <w:rFonts w:ascii="Times New Roman" w:hAnsi="Times New Roman"/>
        </w:rPr>
        <w:t xml:space="preserve"> </w:t>
      </w:r>
      <w:r w:rsidRPr="00A245DA">
        <w:rPr>
          <w:rFonts w:ascii="Times New Roman" w:hAnsi="Times New Roman"/>
        </w:rPr>
        <w:t>põhinevad taristud, näiteks võrgud, infotöötlus, tarkvara ja kommunikatsioonivahendid ning muud</w:t>
      </w:r>
      <w:r w:rsidR="00720F1F" w:rsidRPr="00A245DA">
        <w:rPr>
          <w:rFonts w:ascii="Times New Roman" w:hAnsi="Times New Roman"/>
        </w:rPr>
        <w:t xml:space="preserve"> </w:t>
      </w:r>
      <w:r w:rsidRPr="00A245DA">
        <w:rPr>
          <w:rFonts w:ascii="Times New Roman" w:hAnsi="Times New Roman"/>
        </w:rPr>
        <w:t>teadusuuringute teostamiseks vajalikud üksused. Sellised teadusuuringute taristud võivad asuda ühes kohas või olla</w:t>
      </w:r>
      <w:r w:rsidR="00720F1F" w:rsidRPr="00A245DA">
        <w:rPr>
          <w:rFonts w:ascii="Times New Roman" w:hAnsi="Times New Roman"/>
        </w:rPr>
        <w:t xml:space="preserve"> </w:t>
      </w:r>
      <w:r w:rsidRPr="00A245DA">
        <w:rPr>
          <w:rFonts w:ascii="Times New Roman" w:hAnsi="Times New Roman"/>
        </w:rPr>
        <w:t>jaotatud (organiseeritud ressursivõrgustik) kooskõlas nõukogu 25. juuni 2009. aasta määruse (EÜ) nr 723/2009 (1) (Euroopa teadusuuringute infrastruktuuri konsortsiumi (ERIC) käsitleva ühenduse õigusliku raamistiku</w:t>
      </w:r>
      <w:r w:rsidR="00720F1F" w:rsidRPr="00A245DA">
        <w:rPr>
          <w:rFonts w:ascii="Times New Roman" w:hAnsi="Times New Roman"/>
        </w:rPr>
        <w:t xml:space="preserve"> kohta) artikli 2 lõikega a. </w:t>
      </w:r>
      <w:r w:rsidR="001A280B" w:rsidRPr="00A245DA">
        <w:rPr>
          <w:rFonts w:ascii="Times New Roman" w:hAnsi="Times New Roman"/>
        </w:rPr>
        <w:t xml:space="preserve">Antud </w:t>
      </w:r>
      <w:r w:rsidR="0092522D" w:rsidRPr="00A245DA">
        <w:rPr>
          <w:rFonts w:ascii="Times New Roman" w:hAnsi="Times New Roman"/>
          <w:bCs/>
        </w:rPr>
        <w:t>mõistet</w:t>
      </w:r>
      <w:r w:rsidR="001A280B" w:rsidRPr="00A245DA">
        <w:rPr>
          <w:rFonts w:ascii="Times New Roman" w:hAnsi="Times New Roman"/>
          <w:bCs/>
        </w:rPr>
        <w:t xml:space="preserve"> kasutatakse riigiabi esinemise korral.</w:t>
      </w:r>
    </w:p>
    <w:p w14:paraId="298248CA" w14:textId="4FE3BB37" w:rsidR="00384AB6" w:rsidRPr="00A245DA" w:rsidRDefault="00384AB6" w:rsidP="001165EA">
      <w:pPr>
        <w:pStyle w:val="NoSpacing"/>
        <w:spacing w:before="100" w:beforeAutospacing="1"/>
        <w:jc w:val="both"/>
        <w:rPr>
          <w:rFonts w:ascii="Times New Roman" w:hAnsi="Times New Roman" w:cs="Times New Roman"/>
        </w:rPr>
      </w:pPr>
      <w:r w:rsidRPr="00A245DA">
        <w:rPr>
          <w:rFonts w:ascii="Times New Roman" w:hAnsi="Times New Roman" w:cs="Times New Roman"/>
          <w:u w:val="single"/>
        </w:rPr>
        <w:t xml:space="preserve">Punktis 14 </w:t>
      </w:r>
      <w:r w:rsidRPr="00A245DA">
        <w:rPr>
          <w:rFonts w:ascii="Times New Roman" w:hAnsi="Times New Roman" w:cs="Times New Roman"/>
        </w:rPr>
        <w:t>on kirjeldatud ASTRA juhtimiseks moodustatava kogu ülesandeid.</w:t>
      </w:r>
    </w:p>
    <w:p w14:paraId="2F1DF1FB" w14:textId="7427BC6A" w:rsidR="00AC10E2" w:rsidRPr="00A245DA" w:rsidRDefault="00AC10E2" w:rsidP="001165EA">
      <w:pPr>
        <w:pStyle w:val="NoSpacing"/>
        <w:spacing w:before="100" w:beforeAutospacing="1"/>
        <w:jc w:val="both"/>
        <w:rPr>
          <w:rFonts w:ascii="Times New Roman" w:hAnsi="Times New Roman" w:cs="Times New Roman"/>
        </w:rPr>
      </w:pPr>
      <w:r w:rsidRPr="00A245DA">
        <w:rPr>
          <w:rFonts w:ascii="Times New Roman" w:hAnsi="Times New Roman" w:cs="Times New Roman"/>
        </w:rPr>
        <w:t xml:space="preserve">Oluline on eelnevalt kirjeldatud definitsioonide puhul silmas pidada, et toetatavate tegevuste ning abikõlblike kulude puhul lähtutakse neist </w:t>
      </w:r>
      <w:r w:rsidR="00BB2560" w:rsidRPr="00A245DA">
        <w:rPr>
          <w:rFonts w:ascii="Times New Roman" w:hAnsi="Times New Roman" w:cs="Times New Roman"/>
        </w:rPr>
        <w:t xml:space="preserve">toetatavate </w:t>
      </w:r>
      <w:r w:rsidRPr="00A245DA">
        <w:rPr>
          <w:rFonts w:ascii="Times New Roman" w:hAnsi="Times New Roman" w:cs="Times New Roman"/>
        </w:rPr>
        <w:t>tegevus</w:t>
      </w:r>
      <w:r w:rsidR="00BB2560" w:rsidRPr="00A245DA">
        <w:rPr>
          <w:rFonts w:ascii="Times New Roman" w:hAnsi="Times New Roman" w:cs="Times New Roman"/>
        </w:rPr>
        <w:t>t</w:t>
      </w:r>
      <w:r w:rsidRPr="00A245DA">
        <w:rPr>
          <w:rFonts w:ascii="Times New Roman" w:hAnsi="Times New Roman" w:cs="Times New Roman"/>
        </w:rPr>
        <w:t>e ja kulude sisu</w:t>
      </w:r>
      <w:r w:rsidR="00BB2560" w:rsidRPr="00A245DA">
        <w:rPr>
          <w:rFonts w:ascii="Times New Roman" w:hAnsi="Times New Roman" w:cs="Times New Roman"/>
        </w:rPr>
        <w:t xml:space="preserve"> määratlemisel</w:t>
      </w:r>
      <w:r w:rsidRPr="00A245DA">
        <w:rPr>
          <w:rFonts w:ascii="Times New Roman" w:hAnsi="Times New Roman" w:cs="Times New Roman"/>
        </w:rPr>
        <w:t>.</w:t>
      </w:r>
    </w:p>
    <w:p w14:paraId="404534AE" w14:textId="77777777" w:rsidR="0003387B" w:rsidRPr="00A245DA" w:rsidRDefault="0003387B" w:rsidP="003A666F">
      <w:pPr>
        <w:pStyle w:val="NoSpacing"/>
        <w:jc w:val="both"/>
        <w:rPr>
          <w:rFonts w:ascii="Times New Roman" w:hAnsi="Times New Roman" w:cs="Times New Roman"/>
          <w:u w:val="single"/>
        </w:rPr>
      </w:pPr>
    </w:p>
    <w:p w14:paraId="50E7D17B" w14:textId="73092108" w:rsidR="00A754A0" w:rsidRPr="00A245DA" w:rsidRDefault="0093212C" w:rsidP="003A666F">
      <w:pPr>
        <w:pStyle w:val="NoSpacing"/>
        <w:jc w:val="both"/>
        <w:rPr>
          <w:rFonts w:ascii="Times New Roman" w:hAnsi="Times New Roman" w:cs="Times New Roman"/>
        </w:rPr>
      </w:pPr>
      <w:r w:rsidRPr="00A245DA">
        <w:rPr>
          <w:rFonts w:ascii="Times New Roman" w:hAnsi="Times New Roman" w:cs="Times New Roman"/>
          <w:u w:val="single"/>
        </w:rPr>
        <w:t>§-s 3</w:t>
      </w:r>
      <w:r w:rsidR="00DA0D2E" w:rsidRPr="00A245DA">
        <w:rPr>
          <w:rFonts w:ascii="Times New Roman" w:hAnsi="Times New Roman" w:cs="Times New Roman"/>
        </w:rPr>
        <w:t xml:space="preserve"> määratletakse </w:t>
      </w:r>
      <w:r w:rsidR="001F2095" w:rsidRPr="00A245DA">
        <w:rPr>
          <w:rFonts w:ascii="Times New Roman" w:hAnsi="Times New Roman" w:cs="Times New Roman"/>
        </w:rPr>
        <w:t>ASTRA</w:t>
      </w:r>
      <w:r w:rsidR="00DA0D2E" w:rsidRPr="00A245DA">
        <w:rPr>
          <w:rFonts w:ascii="Times New Roman" w:hAnsi="Times New Roman" w:cs="Times New Roman"/>
        </w:rPr>
        <w:t xml:space="preserve"> toetuse andmise eesmärk ja oodatavad tulemused. </w:t>
      </w:r>
    </w:p>
    <w:p w14:paraId="6ED0B9D7" w14:textId="685C4854" w:rsidR="00A754A0" w:rsidRPr="00A245DA" w:rsidRDefault="00A754A0" w:rsidP="003A666F">
      <w:pPr>
        <w:pStyle w:val="NoSpacing"/>
        <w:jc w:val="both"/>
        <w:rPr>
          <w:rFonts w:ascii="Times New Roman" w:hAnsi="Times New Roman" w:cs="Times New Roman"/>
          <w:u w:val="single"/>
        </w:rPr>
      </w:pPr>
      <w:r w:rsidRPr="00A245DA">
        <w:rPr>
          <w:rFonts w:ascii="Times New Roman" w:hAnsi="Times New Roman" w:cs="Times New Roman"/>
          <w:u w:val="single"/>
        </w:rPr>
        <w:t>ASTRA sekkumisloogika kirjeldus</w:t>
      </w:r>
    </w:p>
    <w:p w14:paraId="2627E10C" w14:textId="77777777" w:rsidR="00293EC3" w:rsidRPr="00A245DA" w:rsidRDefault="008C5D4B" w:rsidP="003A666F">
      <w:pPr>
        <w:pStyle w:val="NoSpacing"/>
        <w:jc w:val="both"/>
        <w:rPr>
          <w:rFonts w:ascii="Times New Roman" w:hAnsi="Times New Roman" w:cs="Times New Roman"/>
        </w:rPr>
      </w:pPr>
      <w:r w:rsidRPr="00A245DA">
        <w:rPr>
          <w:rFonts w:ascii="Times New Roman" w:hAnsi="Times New Roman" w:cs="Times New Roman"/>
        </w:rPr>
        <w:t>Tausta</w:t>
      </w:r>
      <w:r w:rsidR="00E079B5" w:rsidRPr="00A245DA">
        <w:rPr>
          <w:rFonts w:ascii="Times New Roman" w:hAnsi="Times New Roman" w:cs="Times New Roman"/>
        </w:rPr>
        <w:t xml:space="preserve">, millest lähtuvalt on püstitatud ASTRA eesmärk ja kirjeldatud oodatavad tulemused, on lähemalt avatud seletuskirja sissejuhatavas osas. </w:t>
      </w:r>
    </w:p>
    <w:p w14:paraId="39D56290" w14:textId="77777777" w:rsidR="00293EC3" w:rsidRPr="00A245DA" w:rsidRDefault="00293EC3" w:rsidP="00293EC3">
      <w:pPr>
        <w:pStyle w:val="NoSpacing"/>
        <w:jc w:val="both"/>
        <w:rPr>
          <w:rFonts w:ascii="Times New Roman" w:hAnsi="Times New Roman" w:cs="Times New Roman"/>
        </w:rPr>
      </w:pPr>
    </w:p>
    <w:p w14:paraId="0F25D7D3" w14:textId="77777777" w:rsidR="00293EC3" w:rsidRPr="00A245DA" w:rsidRDefault="00293EC3" w:rsidP="00293EC3">
      <w:pPr>
        <w:pStyle w:val="NoSpacing"/>
        <w:jc w:val="both"/>
        <w:rPr>
          <w:rFonts w:ascii="Times New Roman" w:hAnsi="Times New Roman" w:cs="Times New Roman"/>
          <w:color w:val="000000"/>
        </w:rPr>
      </w:pPr>
      <w:r w:rsidRPr="00A245DA">
        <w:rPr>
          <w:rFonts w:ascii="Times New Roman" w:hAnsi="Times New Roman" w:cs="Times New Roman"/>
        </w:rPr>
        <w:t>Toetuse andmise oodatavad tulemused tulenevad Ühtekuuluvuspoliitika fondide rakenduskavast: „</w:t>
      </w:r>
      <w:r w:rsidRPr="00A245DA">
        <w:rPr>
          <w:rFonts w:ascii="Times New Roman" w:hAnsi="Times New Roman" w:cs="Times New Roman"/>
          <w:color w:val="000000"/>
        </w:rPr>
        <w:t>Oodatavate tulemustena tegutseb teadusasutuste ja kõrgkoolide võrk tõhusalt ning kõrghariduse vastutusvaldkonnad ja nutika spetsialiseerumise kasvuvaldkonnad on tagatud kaasaegse taristuga. Teadlaskarjäär on populaarne, paranenud on doktoriõppe efektiivsus ning doktorikraadiga spetsialistide arv on tõusnud (eelkõige ettevõtluses, et suurendada ettevõtlussektori teadustegevuse taset). Eesti on atraktiivne koht TA tööks ning õppeks, teadlas- ja õpiränne on kasvanud ja on tasakaalustatud. Kasvanud on ettevõtluse, TA asutuste ning kõrgkoolide koostöö maht. Kasvanud on avaliku sektori TA asutuste motivatsioon tegeleda rakendusuuringutega ettevõtete huvides. Ettevõtjatele ja TA asutustele on kättesaadavad maailma uusimad teadustulemused, avatud koostöövõimalused ja taristu.“</w:t>
      </w:r>
    </w:p>
    <w:p w14:paraId="5FA00268" w14:textId="77777777" w:rsidR="00293EC3" w:rsidRPr="00A245DA" w:rsidRDefault="00293EC3" w:rsidP="003A666F">
      <w:pPr>
        <w:pStyle w:val="NoSpacing"/>
        <w:jc w:val="both"/>
        <w:rPr>
          <w:rFonts w:ascii="Times New Roman" w:hAnsi="Times New Roman" w:cs="Times New Roman"/>
          <w:color w:val="0070C0"/>
        </w:rPr>
      </w:pPr>
    </w:p>
    <w:p w14:paraId="3EC3D42E" w14:textId="62F156E9" w:rsidR="008C5D4B" w:rsidRPr="00A245DA" w:rsidRDefault="00A754A0" w:rsidP="003A666F">
      <w:pPr>
        <w:pStyle w:val="NoSpacing"/>
        <w:jc w:val="both"/>
        <w:rPr>
          <w:rFonts w:ascii="Times New Roman" w:hAnsi="Times New Roman" w:cs="Times New Roman"/>
        </w:rPr>
      </w:pPr>
      <w:r w:rsidRPr="00A245DA">
        <w:rPr>
          <w:rFonts w:ascii="Times New Roman" w:hAnsi="Times New Roman" w:cs="Times New Roman"/>
        </w:rPr>
        <w:t xml:space="preserve">Eesmärk ja tulemused saavutatakse toetatavate tegevuste elluviimise kaudu (§ 6 lg 1). </w:t>
      </w:r>
      <w:r w:rsidR="00CE4559" w:rsidRPr="00A245DA">
        <w:rPr>
          <w:rFonts w:ascii="Times New Roman" w:hAnsi="Times New Roman" w:cs="Times New Roman"/>
        </w:rPr>
        <w:t>Lõikes 2 nimetatud toetuse andmise tulemused on otseselt seostatavad § 6 lõikes 1 nimetatud toetatavate tegevustega</w:t>
      </w:r>
      <w:r w:rsidR="00293EC3" w:rsidRPr="00A245DA">
        <w:rPr>
          <w:rFonts w:ascii="Times New Roman" w:hAnsi="Times New Roman" w:cs="Times New Roman"/>
        </w:rPr>
        <w:t>:</w:t>
      </w:r>
      <w:r w:rsidR="008C5D4B" w:rsidRPr="00A245DA">
        <w:rPr>
          <w:rFonts w:ascii="Times New Roman" w:hAnsi="Times New Roman" w:cs="Times New Roman"/>
        </w:rPr>
        <w:t xml:space="preserve"> </w:t>
      </w:r>
    </w:p>
    <w:p w14:paraId="685C5EA5" w14:textId="77777777" w:rsidR="008C5D4B" w:rsidRPr="00A245DA" w:rsidRDefault="008C5D4B" w:rsidP="003A666F">
      <w:pPr>
        <w:pStyle w:val="NoSpacing"/>
        <w:jc w:val="both"/>
        <w:rPr>
          <w:rFonts w:ascii="Times New Roman" w:hAnsi="Times New Roman" w:cs="Times New Roman"/>
        </w:rPr>
      </w:pPr>
    </w:p>
    <w:tbl>
      <w:tblPr>
        <w:tblStyle w:val="TableGrid"/>
        <w:tblW w:w="0" w:type="auto"/>
        <w:tblLook w:val="04A0" w:firstRow="1" w:lastRow="0" w:firstColumn="1" w:lastColumn="0" w:noHBand="0" w:noVBand="1"/>
      </w:tblPr>
      <w:tblGrid>
        <w:gridCol w:w="4531"/>
        <w:gridCol w:w="4531"/>
      </w:tblGrid>
      <w:tr w:rsidR="0063298E" w:rsidRPr="00A245DA" w14:paraId="1BED4D65" w14:textId="77777777" w:rsidTr="00533A7E">
        <w:tc>
          <w:tcPr>
            <w:tcW w:w="9062" w:type="dxa"/>
            <w:gridSpan w:val="2"/>
          </w:tcPr>
          <w:p w14:paraId="63324E28" w14:textId="409FBCB0" w:rsidR="00293EC3" w:rsidRPr="00A245DA" w:rsidRDefault="00293EC3" w:rsidP="00293EC3">
            <w:pPr>
              <w:pStyle w:val="NoSpacing"/>
              <w:jc w:val="both"/>
              <w:rPr>
                <w:rFonts w:ascii="Times New Roman" w:hAnsi="Times New Roman" w:cs="Times New Roman"/>
              </w:rPr>
            </w:pPr>
            <w:r w:rsidRPr="00A245DA">
              <w:rPr>
                <w:rFonts w:ascii="Times New Roman" w:hAnsi="Times New Roman" w:cs="Times New Roman"/>
                <w:b/>
              </w:rPr>
              <w:t>Toetuse andmise eesmärk:</w:t>
            </w:r>
            <w:r w:rsidRPr="00A245DA">
              <w:rPr>
                <w:rFonts w:ascii="Times New Roman" w:hAnsi="Times New Roman" w:cs="Times New Roman"/>
              </w:rPr>
              <w:t xml:space="preserve"> </w:t>
            </w:r>
            <w:r w:rsidRPr="00A245DA">
              <w:rPr>
                <w:rFonts w:ascii="Times New Roman" w:hAnsi="Times New Roman" w:cs="Times New Roman"/>
                <w:lang w:eastAsia="et-EE"/>
              </w:rPr>
              <w:t xml:space="preserve">teadus- ja arendusasutuste ning kõrgkoolide konkurentsivõime ja </w:t>
            </w:r>
            <w:r w:rsidRPr="00A245DA">
              <w:rPr>
                <w:rFonts w:ascii="Times New Roman" w:hAnsi="Times New Roman" w:cs="Times New Roman"/>
                <w:lang w:eastAsia="et-EE"/>
              </w:rPr>
              <w:lastRenderedPageBreak/>
              <w:t>ühiskonna teenimise võimekuse kasv asutuste vastutusvaldkondades ja nutika spetsialiseerumise kasvuvaldkondades ning teadus- ja arendus ja kõrgharidussüsteemi efektiivsuse suurendamine, sealhulgas asutuste struktuursete ümberkorralduste teel (§ 3 lg 1)</w:t>
            </w:r>
          </w:p>
        </w:tc>
      </w:tr>
      <w:tr w:rsidR="0063298E" w:rsidRPr="00A245DA" w14:paraId="2FC00F7A" w14:textId="77777777" w:rsidTr="008C5D4B">
        <w:tc>
          <w:tcPr>
            <w:tcW w:w="4531" w:type="dxa"/>
          </w:tcPr>
          <w:p w14:paraId="79BECEA4" w14:textId="10303D29" w:rsidR="008C5D4B" w:rsidRPr="00A245DA" w:rsidRDefault="00293EC3" w:rsidP="003A666F">
            <w:pPr>
              <w:pStyle w:val="NoSpacing"/>
              <w:jc w:val="both"/>
              <w:rPr>
                <w:rFonts w:ascii="Times New Roman" w:hAnsi="Times New Roman" w:cs="Times New Roman"/>
              </w:rPr>
            </w:pPr>
            <w:r w:rsidRPr="00A245DA">
              <w:rPr>
                <w:rFonts w:ascii="Times New Roman" w:hAnsi="Times New Roman" w:cs="Times New Roman"/>
                <w:b/>
              </w:rPr>
              <w:lastRenderedPageBreak/>
              <w:t>Toetatavad tegevused</w:t>
            </w:r>
            <w:r w:rsidRPr="00A245DA">
              <w:rPr>
                <w:rFonts w:ascii="Times New Roman" w:hAnsi="Times New Roman" w:cs="Times New Roman"/>
              </w:rPr>
              <w:t xml:space="preserve"> (§ 6 lg 1)</w:t>
            </w:r>
          </w:p>
        </w:tc>
        <w:tc>
          <w:tcPr>
            <w:tcW w:w="4531" w:type="dxa"/>
          </w:tcPr>
          <w:p w14:paraId="280A5733" w14:textId="23CF4634" w:rsidR="008C5D4B" w:rsidRPr="00A245DA" w:rsidRDefault="00293EC3" w:rsidP="00293EC3">
            <w:pPr>
              <w:pStyle w:val="NoSpacing"/>
              <w:jc w:val="both"/>
              <w:rPr>
                <w:rFonts w:ascii="Times New Roman" w:hAnsi="Times New Roman" w:cs="Times New Roman"/>
              </w:rPr>
            </w:pPr>
            <w:r w:rsidRPr="00A245DA">
              <w:rPr>
                <w:rFonts w:ascii="Times New Roman" w:hAnsi="Times New Roman" w:cs="Times New Roman"/>
                <w:b/>
              </w:rPr>
              <w:t>Toetuse andmise tulemus</w:t>
            </w:r>
            <w:r w:rsidRPr="00A245DA">
              <w:rPr>
                <w:rFonts w:ascii="Times New Roman" w:hAnsi="Times New Roman" w:cs="Times New Roman"/>
              </w:rPr>
              <w:t xml:space="preserve"> (</w:t>
            </w:r>
            <w:r w:rsidRPr="00A245DA">
              <w:rPr>
                <w:rFonts w:ascii="Times New Roman" w:hAnsi="Times New Roman" w:cs="Times New Roman"/>
                <w:lang w:eastAsia="et-EE"/>
              </w:rPr>
              <w:t>§ 3 lg 2)</w:t>
            </w:r>
          </w:p>
        </w:tc>
      </w:tr>
      <w:tr w:rsidR="0063298E" w:rsidRPr="00A245DA" w14:paraId="75DFCFBE" w14:textId="77777777" w:rsidTr="008C5D4B">
        <w:tc>
          <w:tcPr>
            <w:tcW w:w="4531" w:type="dxa"/>
          </w:tcPr>
          <w:p w14:paraId="761E8DE3" w14:textId="23636B0F" w:rsidR="008C5D4B" w:rsidRPr="00A245DA" w:rsidRDefault="00293EC3" w:rsidP="00337589">
            <w:pPr>
              <w:pStyle w:val="NoSpacing"/>
              <w:rPr>
                <w:rFonts w:ascii="Times New Roman" w:hAnsi="Times New Roman" w:cs="Times New Roman"/>
              </w:rPr>
            </w:pPr>
            <w:r w:rsidRPr="00A245DA">
              <w:rPr>
                <w:rFonts w:ascii="Times New Roman" w:hAnsi="Times New Roman" w:cs="Times New Roman"/>
              </w:rPr>
              <w:t>1) teadus- ja õppehoonete</w:t>
            </w:r>
            <w:r w:rsidRPr="00A245DA">
              <w:rPr>
                <w:rFonts w:ascii="Times New Roman" w:eastAsia="Times New Roman" w:hAnsi="Times New Roman" w:cs="Times New Roman"/>
                <w:bCs/>
                <w:lang w:eastAsia="et-EE"/>
              </w:rPr>
              <w:t xml:space="preserve"> </w:t>
            </w:r>
            <w:r w:rsidR="00E42F0F" w:rsidRPr="00A245DA">
              <w:rPr>
                <w:rFonts w:ascii="Times New Roman" w:eastAsia="Times New Roman" w:hAnsi="Times New Roman" w:cs="Times New Roman"/>
                <w:bCs/>
                <w:lang w:eastAsia="et-EE"/>
              </w:rPr>
              <w:t>rajamine</w:t>
            </w:r>
            <w:r w:rsidR="00FE0946" w:rsidRPr="00A245DA">
              <w:rPr>
                <w:rFonts w:ascii="Times New Roman" w:eastAsia="Times New Roman" w:hAnsi="Times New Roman" w:cs="Times New Roman"/>
                <w:bCs/>
                <w:lang w:eastAsia="et-EE"/>
              </w:rPr>
              <w:t xml:space="preserve"> </w:t>
            </w:r>
          </w:p>
        </w:tc>
        <w:tc>
          <w:tcPr>
            <w:tcW w:w="4531" w:type="dxa"/>
          </w:tcPr>
          <w:p w14:paraId="0D36441D" w14:textId="3BBCAD4C" w:rsidR="008C5D4B" w:rsidRPr="00A245DA" w:rsidRDefault="00293EC3" w:rsidP="00B33C89">
            <w:pPr>
              <w:pStyle w:val="NoSpacing"/>
              <w:rPr>
                <w:rFonts w:ascii="Times New Roman" w:hAnsi="Times New Roman" w:cs="Times New Roman"/>
              </w:rPr>
            </w:pPr>
            <w:r w:rsidRPr="00A245DA">
              <w:rPr>
                <w:rFonts w:ascii="Times New Roman" w:hAnsi="Times New Roman" w:cs="Times New Roman"/>
              </w:rPr>
              <w:t xml:space="preserve">2) </w:t>
            </w:r>
            <w:r w:rsidR="00B33C89" w:rsidRPr="00A245DA">
              <w:rPr>
                <w:rFonts w:ascii="Times New Roman" w:hAnsi="Times New Roman" w:cs="Times New Roman"/>
              </w:rPr>
              <w:t xml:space="preserve">paranevad </w:t>
            </w:r>
            <w:r w:rsidR="00DE1A31" w:rsidRPr="00A245DA">
              <w:rPr>
                <w:rFonts w:ascii="Times New Roman" w:hAnsi="Times New Roman" w:cs="Times New Roman"/>
              </w:rPr>
              <w:t>kaasajastatud hoonete</w:t>
            </w:r>
            <w:r w:rsidR="00B33C89" w:rsidRPr="00A245DA">
              <w:rPr>
                <w:rFonts w:ascii="Times New Roman" w:hAnsi="Times New Roman" w:cs="Times New Roman"/>
              </w:rPr>
              <w:t>s</w:t>
            </w:r>
            <w:r w:rsidR="00DE1A31" w:rsidRPr="00A245DA">
              <w:rPr>
                <w:rFonts w:ascii="Times New Roman" w:hAnsi="Times New Roman" w:cs="Times New Roman"/>
              </w:rPr>
              <w:t xml:space="preserve"> õppe- ja teadustöö läbiviimise tingimused </w:t>
            </w:r>
            <w:r w:rsidRPr="00A245DA">
              <w:rPr>
                <w:rFonts w:ascii="Times New Roman" w:hAnsi="Times New Roman" w:cs="Times New Roman"/>
              </w:rPr>
              <w:t>nutika spetsialiseerumise kasvuvaldkondade</w:t>
            </w:r>
            <w:r w:rsidR="00DE1A31" w:rsidRPr="00A245DA">
              <w:rPr>
                <w:rFonts w:ascii="Times New Roman" w:hAnsi="Times New Roman" w:cs="Times New Roman"/>
              </w:rPr>
              <w:t>s</w:t>
            </w:r>
            <w:r w:rsidRPr="00A245DA">
              <w:rPr>
                <w:rFonts w:ascii="Times New Roman" w:hAnsi="Times New Roman" w:cs="Times New Roman"/>
              </w:rPr>
              <w:t xml:space="preserve"> ja asutuste vastutusvaldkondade</w:t>
            </w:r>
            <w:r w:rsidR="00DE1A31" w:rsidRPr="00A245DA">
              <w:rPr>
                <w:rFonts w:ascii="Times New Roman" w:hAnsi="Times New Roman" w:cs="Times New Roman"/>
              </w:rPr>
              <w:t>s</w:t>
            </w:r>
            <w:r w:rsidRPr="00A245DA">
              <w:rPr>
                <w:rFonts w:ascii="Times New Roman" w:hAnsi="Times New Roman" w:cs="Times New Roman"/>
              </w:rPr>
              <w:t xml:space="preserve"> </w:t>
            </w:r>
          </w:p>
        </w:tc>
      </w:tr>
      <w:tr w:rsidR="0063298E" w:rsidRPr="00A245DA" w14:paraId="0CA11E3E" w14:textId="77777777" w:rsidTr="008C5D4B">
        <w:tc>
          <w:tcPr>
            <w:tcW w:w="4531" w:type="dxa"/>
          </w:tcPr>
          <w:p w14:paraId="2631A99B" w14:textId="13240422" w:rsidR="008C5D4B" w:rsidRPr="00A245DA" w:rsidRDefault="00293EC3" w:rsidP="00337589">
            <w:pPr>
              <w:pStyle w:val="NoSpacing"/>
              <w:rPr>
                <w:rFonts w:ascii="Times New Roman" w:hAnsi="Times New Roman" w:cs="Times New Roman"/>
              </w:rPr>
            </w:pPr>
            <w:r w:rsidRPr="00A245DA">
              <w:rPr>
                <w:rFonts w:ascii="Times New Roman" w:hAnsi="Times New Roman" w:cs="Times New Roman"/>
              </w:rPr>
              <w:t>2) struktuursete ümberkorralduste läbiviimine</w:t>
            </w:r>
          </w:p>
        </w:tc>
        <w:tc>
          <w:tcPr>
            <w:tcW w:w="4531" w:type="dxa"/>
          </w:tcPr>
          <w:p w14:paraId="5A446344" w14:textId="5050FE05" w:rsidR="008C5D4B" w:rsidRPr="00A245DA" w:rsidRDefault="00293EC3" w:rsidP="00337589">
            <w:pPr>
              <w:pStyle w:val="NoSpacing"/>
              <w:rPr>
                <w:rFonts w:ascii="Times New Roman" w:hAnsi="Times New Roman" w:cs="Times New Roman"/>
              </w:rPr>
            </w:pPr>
            <w:r w:rsidRPr="00A245DA">
              <w:rPr>
                <w:rFonts w:ascii="Times New Roman" w:hAnsi="Times New Roman" w:cs="Times New Roman"/>
              </w:rPr>
              <w:t xml:space="preserve">1) </w:t>
            </w:r>
            <w:r w:rsidRPr="00A245DA">
              <w:rPr>
                <w:rFonts w:ascii="Times New Roman" w:eastAsia="Times New Roman" w:hAnsi="Times New Roman" w:cs="Times New Roman"/>
                <w:bCs/>
                <w:lang w:eastAsia="et-EE"/>
              </w:rPr>
              <w:t xml:space="preserve">suureneb teadus- ja arendusasutuste ning kõrgkoolide </w:t>
            </w:r>
            <w:r w:rsidR="00FD00A1" w:rsidRPr="00A245DA">
              <w:rPr>
                <w:rFonts w:ascii="Times New Roman" w:eastAsia="Times New Roman" w:hAnsi="Times New Roman" w:cs="Times New Roman"/>
                <w:bCs/>
                <w:lang w:eastAsia="et-EE"/>
              </w:rPr>
              <w:t>võrgu</w:t>
            </w:r>
            <w:r w:rsidRPr="00A245DA">
              <w:rPr>
                <w:rFonts w:ascii="Times New Roman" w:eastAsia="Times New Roman" w:hAnsi="Times New Roman" w:cs="Times New Roman"/>
                <w:bCs/>
                <w:lang w:eastAsia="et-EE"/>
              </w:rPr>
              <w:t>efektiivsus ja ressursikasutuse tõhusus</w:t>
            </w:r>
          </w:p>
        </w:tc>
      </w:tr>
      <w:tr w:rsidR="0063298E" w:rsidRPr="00A245DA" w14:paraId="1743D8FA" w14:textId="77777777" w:rsidTr="008C5D4B">
        <w:tc>
          <w:tcPr>
            <w:tcW w:w="4531" w:type="dxa"/>
          </w:tcPr>
          <w:p w14:paraId="1C11F1A3" w14:textId="7F690AC7" w:rsidR="008C5D4B" w:rsidRPr="00A245DA" w:rsidRDefault="00293EC3" w:rsidP="00337589">
            <w:pPr>
              <w:pStyle w:val="NoSpacing"/>
              <w:rPr>
                <w:rFonts w:ascii="Times New Roman" w:hAnsi="Times New Roman" w:cs="Times New Roman"/>
              </w:rPr>
            </w:pPr>
            <w:r w:rsidRPr="00A245DA">
              <w:rPr>
                <w:rFonts w:ascii="Times New Roman" w:hAnsi="Times New Roman" w:cs="Times New Roman"/>
              </w:rPr>
              <w:t xml:space="preserve">3) õppe- ja teadustöö kvaliteedi </w:t>
            </w:r>
            <w:r w:rsidR="00B33C89" w:rsidRPr="00A245DA">
              <w:rPr>
                <w:rFonts w:ascii="Times New Roman" w:hAnsi="Times New Roman" w:cs="Times New Roman"/>
              </w:rPr>
              <w:t xml:space="preserve">ja efektiivsuse </w:t>
            </w:r>
            <w:r w:rsidRPr="00A245DA">
              <w:rPr>
                <w:rFonts w:ascii="Times New Roman" w:hAnsi="Times New Roman" w:cs="Times New Roman"/>
              </w:rPr>
              <w:t>tõstmisele suunatud tegevused</w:t>
            </w:r>
          </w:p>
        </w:tc>
        <w:tc>
          <w:tcPr>
            <w:tcW w:w="4531" w:type="dxa"/>
          </w:tcPr>
          <w:p w14:paraId="776FCE22" w14:textId="31D9ECE7" w:rsidR="008C5D4B" w:rsidRPr="00A245DA" w:rsidRDefault="00293EC3" w:rsidP="00337589">
            <w:pPr>
              <w:pStyle w:val="NoSpacing"/>
              <w:rPr>
                <w:rFonts w:ascii="Times New Roman" w:hAnsi="Times New Roman" w:cs="Times New Roman"/>
              </w:rPr>
            </w:pPr>
            <w:r w:rsidRPr="00A245DA">
              <w:rPr>
                <w:rFonts w:ascii="Times New Roman" w:hAnsi="Times New Roman" w:cs="Times New Roman"/>
              </w:rPr>
              <w:t xml:space="preserve">3) </w:t>
            </w:r>
            <w:r w:rsidRPr="00A245DA">
              <w:rPr>
                <w:rFonts w:ascii="Times New Roman" w:eastAsia="Times New Roman" w:hAnsi="Times New Roman" w:cs="Times New Roman"/>
                <w:bCs/>
                <w:lang w:eastAsia="et-EE"/>
              </w:rPr>
              <w:t>tõuseb õppe- ja teadustöö kvaliteet nutika spetsialiseerumise kasvuvaldkondades ja asutuste vastutusvaldkondades</w:t>
            </w:r>
          </w:p>
        </w:tc>
      </w:tr>
      <w:tr w:rsidR="0063298E" w:rsidRPr="00A245DA" w14:paraId="5C5603DE" w14:textId="77777777" w:rsidTr="008C5D4B">
        <w:tc>
          <w:tcPr>
            <w:tcW w:w="4531" w:type="dxa"/>
          </w:tcPr>
          <w:p w14:paraId="20E7B495" w14:textId="4E2DF59C" w:rsidR="008C5D4B" w:rsidRPr="00A245DA" w:rsidRDefault="00293EC3" w:rsidP="00B33C89">
            <w:pPr>
              <w:pStyle w:val="NoSpacing"/>
              <w:rPr>
                <w:rFonts w:ascii="Times New Roman" w:hAnsi="Times New Roman" w:cs="Times New Roman"/>
              </w:rPr>
            </w:pPr>
            <w:r w:rsidRPr="00A245DA">
              <w:rPr>
                <w:rFonts w:ascii="Times New Roman" w:hAnsi="Times New Roman" w:cs="Times New Roman"/>
              </w:rPr>
              <w:t>4) doktoriõppe</w:t>
            </w:r>
            <w:r w:rsidR="00B33C89" w:rsidRPr="00A245DA">
              <w:rPr>
                <w:rFonts w:ascii="Times New Roman" w:hAnsi="Times New Roman" w:cs="Times New Roman"/>
              </w:rPr>
              <w:t xml:space="preserve"> kvaliteedi ja</w:t>
            </w:r>
            <w:r w:rsidRPr="00A245DA">
              <w:rPr>
                <w:rFonts w:ascii="Times New Roman" w:hAnsi="Times New Roman" w:cs="Times New Roman"/>
              </w:rPr>
              <w:t xml:space="preserve"> efektiivsuse suurendamisega seotud tegevused</w:t>
            </w:r>
          </w:p>
        </w:tc>
        <w:tc>
          <w:tcPr>
            <w:tcW w:w="4531" w:type="dxa"/>
          </w:tcPr>
          <w:p w14:paraId="74076FB9" w14:textId="54343BCF" w:rsidR="008C5D4B" w:rsidRPr="00A245DA" w:rsidRDefault="00293EC3" w:rsidP="00B33C89">
            <w:pPr>
              <w:pStyle w:val="NoSpacing"/>
              <w:rPr>
                <w:rFonts w:ascii="Times New Roman" w:hAnsi="Times New Roman" w:cs="Times New Roman"/>
              </w:rPr>
            </w:pPr>
            <w:r w:rsidRPr="00A245DA">
              <w:rPr>
                <w:rFonts w:ascii="Times New Roman" w:hAnsi="Times New Roman" w:cs="Times New Roman"/>
              </w:rPr>
              <w:t xml:space="preserve">4) </w:t>
            </w:r>
            <w:r w:rsidRPr="00A245DA">
              <w:rPr>
                <w:rFonts w:ascii="Times New Roman" w:eastAsia="Times New Roman" w:hAnsi="Times New Roman" w:cs="Times New Roman"/>
                <w:bCs/>
                <w:lang w:eastAsia="et-EE"/>
              </w:rPr>
              <w:t>paraneb doktoriõppe efektiivsus</w:t>
            </w:r>
            <w:r w:rsidR="00B33C89" w:rsidRPr="00A245DA">
              <w:rPr>
                <w:rFonts w:ascii="Times New Roman" w:eastAsia="Times New Roman" w:hAnsi="Times New Roman" w:cs="Times New Roman"/>
                <w:bCs/>
                <w:lang w:eastAsia="et-EE"/>
              </w:rPr>
              <w:t>,</w:t>
            </w:r>
            <w:r w:rsidRPr="00A245DA">
              <w:rPr>
                <w:rFonts w:ascii="Times New Roman" w:eastAsia="Times New Roman" w:hAnsi="Times New Roman" w:cs="Times New Roman"/>
                <w:bCs/>
                <w:lang w:eastAsia="et-EE"/>
              </w:rPr>
              <w:t xml:space="preserve"> doktorantide juhendamise kvaliteet</w:t>
            </w:r>
            <w:r w:rsidR="00B032AB" w:rsidRPr="00A245DA">
              <w:rPr>
                <w:rFonts w:ascii="Times New Roman" w:eastAsia="Times New Roman" w:hAnsi="Times New Roman" w:cs="Times New Roman"/>
                <w:bCs/>
                <w:lang w:eastAsia="et-EE"/>
              </w:rPr>
              <w:t xml:space="preserve"> ning doktoriõppe vastavus </w:t>
            </w:r>
            <w:r w:rsidR="00DC0B8D" w:rsidRPr="00A245DA">
              <w:rPr>
                <w:rFonts w:ascii="Times New Roman" w:eastAsia="Times New Roman" w:hAnsi="Times New Roman" w:cs="Times New Roman"/>
                <w:bCs/>
                <w:lang w:eastAsia="et-EE"/>
              </w:rPr>
              <w:t xml:space="preserve">tööturu </w:t>
            </w:r>
            <w:r w:rsidR="0006577D" w:rsidRPr="00A245DA">
              <w:rPr>
                <w:rFonts w:ascii="Times New Roman" w:eastAsia="Times New Roman" w:hAnsi="Times New Roman" w:cs="Times New Roman"/>
                <w:bCs/>
                <w:lang w:eastAsia="et-EE"/>
              </w:rPr>
              <w:t>vajadustele</w:t>
            </w:r>
          </w:p>
        </w:tc>
      </w:tr>
      <w:tr w:rsidR="0063298E" w:rsidRPr="00A245DA" w14:paraId="7A63346C" w14:textId="77777777" w:rsidTr="008C5D4B">
        <w:tc>
          <w:tcPr>
            <w:tcW w:w="4531" w:type="dxa"/>
          </w:tcPr>
          <w:p w14:paraId="6ADF38A2" w14:textId="0A54C564" w:rsidR="008C5D4B" w:rsidRPr="00A245DA" w:rsidRDefault="00293EC3" w:rsidP="00337589">
            <w:pPr>
              <w:pStyle w:val="NoSpacing"/>
              <w:rPr>
                <w:rFonts w:ascii="Times New Roman" w:hAnsi="Times New Roman" w:cs="Times New Roman"/>
              </w:rPr>
            </w:pPr>
            <w:r w:rsidRPr="00A245DA">
              <w:rPr>
                <w:rFonts w:ascii="Times New Roman" w:hAnsi="Times New Roman" w:cs="Times New Roman"/>
              </w:rPr>
              <w:t xml:space="preserve">5) õppe- </w:t>
            </w:r>
            <w:r w:rsidR="0078448E" w:rsidRPr="00A245DA">
              <w:rPr>
                <w:rFonts w:ascii="Times New Roman" w:hAnsi="Times New Roman" w:cs="Times New Roman"/>
              </w:rPr>
              <w:t>ja</w:t>
            </w:r>
            <w:r w:rsidRPr="00A245DA">
              <w:rPr>
                <w:rFonts w:ascii="Times New Roman" w:hAnsi="Times New Roman" w:cs="Times New Roman"/>
              </w:rPr>
              <w:t xml:space="preserve"> teadus</w:t>
            </w:r>
            <w:r w:rsidR="0078448E" w:rsidRPr="00A245DA">
              <w:rPr>
                <w:rFonts w:ascii="Times New Roman" w:hAnsi="Times New Roman" w:cs="Times New Roman"/>
              </w:rPr>
              <w:t>töö</w:t>
            </w:r>
            <w:r w:rsidRPr="00A245DA">
              <w:rPr>
                <w:rFonts w:ascii="Times New Roman" w:hAnsi="Times New Roman" w:cs="Times New Roman"/>
              </w:rPr>
              <w:t xml:space="preserve"> infrastruktuuri soetamine ja kaasajastamine</w:t>
            </w:r>
          </w:p>
        </w:tc>
        <w:tc>
          <w:tcPr>
            <w:tcW w:w="4531" w:type="dxa"/>
          </w:tcPr>
          <w:p w14:paraId="108C88A7" w14:textId="07DAFE0C" w:rsidR="008C5D4B" w:rsidRPr="00A245DA" w:rsidRDefault="00293EC3" w:rsidP="00B33C89">
            <w:pPr>
              <w:pStyle w:val="NoSpacing"/>
              <w:rPr>
                <w:rFonts w:ascii="Times New Roman" w:hAnsi="Times New Roman" w:cs="Times New Roman"/>
              </w:rPr>
            </w:pPr>
            <w:r w:rsidRPr="00A245DA">
              <w:rPr>
                <w:rFonts w:ascii="Times New Roman" w:hAnsi="Times New Roman" w:cs="Times New Roman"/>
              </w:rPr>
              <w:t xml:space="preserve">7) </w:t>
            </w:r>
            <w:r w:rsidR="00B33C89" w:rsidRPr="00A245DA">
              <w:rPr>
                <w:rFonts w:ascii="Times New Roman" w:hAnsi="Times New Roman" w:cs="Times New Roman"/>
              </w:rPr>
              <w:t xml:space="preserve">suureneb </w:t>
            </w:r>
            <w:r w:rsidRPr="00A245DA">
              <w:rPr>
                <w:rFonts w:ascii="Times New Roman" w:hAnsi="Times New Roman" w:cs="Times New Roman"/>
              </w:rPr>
              <w:t>õppe- ja teadustööks vajalik</w:t>
            </w:r>
            <w:r w:rsidR="00DE1A31" w:rsidRPr="00A245DA">
              <w:rPr>
                <w:rFonts w:ascii="Times New Roman" w:hAnsi="Times New Roman" w:cs="Times New Roman"/>
              </w:rPr>
              <w:t>u kaasajastatud</w:t>
            </w:r>
            <w:r w:rsidRPr="00A245DA">
              <w:rPr>
                <w:rFonts w:ascii="Times New Roman" w:hAnsi="Times New Roman" w:cs="Times New Roman"/>
              </w:rPr>
              <w:t xml:space="preserve"> infrastruktuur</w:t>
            </w:r>
            <w:r w:rsidR="00DE1A31" w:rsidRPr="00A245DA">
              <w:rPr>
                <w:rFonts w:ascii="Times New Roman" w:hAnsi="Times New Roman" w:cs="Times New Roman"/>
              </w:rPr>
              <w:t xml:space="preserve">i abil teadus- ja arendusasutuste </w:t>
            </w:r>
            <w:r w:rsidR="00B33C89" w:rsidRPr="00A245DA">
              <w:rPr>
                <w:rFonts w:ascii="Times New Roman" w:hAnsi="Times New Roman" w:cs="Times New Roman"/>
              </w:rPr>
              <w:t>ning</w:t>
            </w:r>
            <w:r w:rsidR="00DE1A31" w:rsidRPr="00A245DA">
              <w:rPr>
                <w:rFonts w:ascii="Times New Roman" w:hAnsi="Times New Roman" w:cs="Times New Roman"/>
              </w:rPr>
              <w:t xml:space="preserve"> kõrgkoolide konkurentsivõime</w:t>
            </w:r>
          </w:p>
        </w:tc>
      </w:tr>
      <w:tr w:rsidR="0063298E" w:rsidRPr="00A245DA" w14:paraId="320AFF8A" w14:textId="77777777" w:rsidTr="008C5D4B">
        <w:tc>
          <w:tcPr>
            <w:tcW w:w="4531" w:type="dxa"/>
          </w:tcPr>
          <w:p w14:paraId="4ADF178F" w14:textId="54FFFCD3" w:rsidR="008C5D4B" w:rsidRPr="00A245DA" w:rsidRDefault="00293EC3" w:rsidP="00337589">
            <w:pPr>
              <w:pStyle w:val="NoSpacing"/>
              <w:rPr>
                <w:rFonts w:ascii="Times New Roman" w:hAnsi="Times New Roman" w:cs="Times New Roman"/>
              </w:rPr>
            </w:pPr>
            <w:r w:rsidRPr="00A245DA">
              <w:rPr>
                <w:rFonts w:ascii="Times New Roman" w:hAnsi="Times New Roman" w:cs="Times New Roman"/>
              </w:rPr>
              <w:t>6) rahvusvahelise konkurentsivõime tõstmisele suunatud tegevused</w:t>
            </w:r>
          </w:p>
        </w:tc>
        <w:tc>
          <w:tcPr>
            <w:tcW w:w="4531" w:type="dxa"/>
          </w:tcPr>
          <w:p w14:paraId="6B979A65" w14:textId="57167BDD" w:rsidR="008C5D4B" w:rsidRPr="00A245DA" w:rsidRDefault="00293EC3" w:rsidP="00337589">
            <w:pPr>
              <w:pStyle w:val="NoSpacing"/>
              <w:rPr>
                <w:rFonts w:ascii="Times New Roman" w:hAnsi="Times New Roman" w:cs="Times New Roman"/>
              </w:rPr>
            </w:pPr>
            <w:r w:rsidRPr="00A245DA">
              <w:rPr>
                <w:rFonts w:ascii="Times New Roman" w:hAnsi="Times New Roman" w:cs="Times New Roman"/>
              </w:rPr>
              <w:t>6) suureneb teadus- ja arendusasutuste ja kõrgkoolide rahvusvaheline konkurentsivõime</w:t>
            </w:r>
          </w:p>
        </w:tc>
      </w:tr>
      <w:tr w:rsidR="0063298E" w:rsidRPr="00A245DA" w14:paraId="160BE09D" w14:textId="77777777" w:rsidTr="008C5D4B">
        <w:tc>
          <w:tcPr>
            <w:tcW w:w="4531" w:type="dxa"/>
          </w:tcPr>
          <w:p w14:paraId="0F36086E" w14:textId="045D2AD6" w:rsidR="00293EC3" w:rsidRPr="00A245DA" w:rsidRDefault="00293EC3" w:rsidP="00337589">
            <w:pPr>
              <w:pStyle w:val="NoSpacing"/>
              <w:rPr>
                <w:rFonts w:ascii="Times New Roman" w:hAnsi="Times New Roman" w:cs="Times New Roman"/>
              </w:rPr>
            </w:pPr>
            <w:r w:rsidRPr="00A245DA">
              <w:rPr>
                <w:rFonts w:ascii="Times New Roman" w:hAnsi="Times New Roman" w:cs="Times New Roman"/>
              </w:rPr>
              <w:t>7) koostöö tugevdamine teadus- ja arendusasutuste, kõrgkoolide ja ettevõtete vahel</w:t>
            </w:r>
          </w:p>
        </w:tc>
        <w:tc>
          <w:tcPr>
            <w:tcW w:w="4531" w:type="dxa"/>
          </w:tcPr>
          <w:p w14:paraId="26EE10EB" w14:textId="5278F0CB" w:rsidR="00293EC3" w:rsidRPr="00A245DA" w:rsidRDefault="00293EC3" w:rsidP="00337589">
            <w:pPr>
              <w:pStyle w:val="NoSpacing"/>
              <w:rPr>
                <w:rFonts w:ascii="Times New Roman" w:hAnsi="Times New Roman" w:cs="Times New Roman"/>
              </w:rPr>
            </w:pPr>
            <w:r w:rsidRPr="00A245DA">
              <w:rPr>
                <w:rFonts w:ascii="Times New Roman" w:hAnsi="Times New Roman" w:cs="Times New Roman"/>
              </w:rPr>
              <w:t xml:space="preserve">5) </w:t>
            </w:r>
            <w:r w:rsidRPr="00A245DA">
              <w:rPr>
                <w:rFonts w:ascii="Times New Roman" w:eastAsia="Times New Roman" w:hAnsi="Times New Roman" w:cs="Times New Roman"/>
                <w:bCs/>
                <w:lang w:eastAsia="et-EE"/>
              </w:rPr>
              <w:t>k</w:t>
            </w:r>
            <w:r w:rsidRPr="00A245DA">
              <w:rPr>
                <w:rFonts w:ascii="Times New Roman" w:hAnsi="Times New Roman" w:cs="Times New Roman"/>
              </w:rPr>
              <w:t>asvab teadus- ja arendusasutuste</w:t>
            </w:r>
            <w:r w:rsidR="003134C3" w:rsidRPr="00A245DA">
              <w:rPr>
                <w:rFonts w:ascii="Times New Roman" w:hAnsi="Times New Roman" w:cs="Times New Roman"/>
              </w:rPr>
              <w:t xml:space="preserve"> ning</w:t>
            </w:r>
            <w:r w:rsidRPr="00A245DA">
              <w:rPr>
                <w:rFonts w:ascii="Times New Roman" w:hAnsi="Times New Roman" w:cs="Times New Roman"/>
              </w:rPr>
              <w:t xml:space="preserve"> kõrgkoolide </w:t>
            </w:r>
            <w:r w:rsidR="003134C3" w:rsidRPr="00A245DA">
              <w:rPr>
                <w:rFonts w:ascii="Times New Roman" w:hAnsi="Times New Roman" w:cs="Times New Roman"/>
              </w:rPr>
              <w:t>koostöö maht</w:t>
            </w:r>
            <w:r w:rsidRPr="00A245DA">
              <w:rPr>
                <w:rFonts w:ascii="Times New Roman" w:hAnsi="Times New Roman" w:cs="Times New Roman"/>
              </w:rPr>
              <w:t xml:space="preserve"> ettevõtete</w:t>
            </w:r>
            <w:r w:rsidR="003134C3" w:rsidRPr="00A245DA">
              <w:rPr>
                <w:rFonts w:ascii="Times New Roman" w:hAnsi="Times New Roman" w:cs="Times New Roman"/>
              </w:rPr>
              <w:t>ga</w:t>
            </w:r>
          </w:p>
        </w:tc>
      </w:tr>
      <w:tr w:rsidR="0063298E" w:rsidRPr="00A245DA" w14:paraId="2C555971" w14:textId="77777777" w:rsidTr="00533A7E">
        <w:tc>
          <w:tcPr>
            <w:tcW w:w="9062" w:type="dxa"/>
            <w:gridSpan w:val="2"/>
          </w:tcPr>
          <w:p w14:paraId="3512C67C" w14:textId="18573A31" w:rsidR="00293EC3" w:rsidRPr="00A245DA" w:rsidRDefault="00293EC3" w:rsidP="0063298E">
            <w:pPr>
              <w:pStyle w:val="NoSpacing"/>
              <w:jc w:val="both"/>
              <w:rPr>
                <w:rFonts w:ascii="Times New Roman" w:hAnsi="Times New Roman" w:cs="Times New Roman"/>
              </w:rPr>
            </w:pPr>
            <w:r w:rsidRPr="00A245DA">
              <w:rPr>
                <w:rFonts w:ascii="Times New Roman" w:hAnsi="Times New Roman" w:cs="Times New Roman"/>
                <w:lang w:eastAsia="et-EE"/>
              </w:rPr>
              <w:t xml:space="preserve">Toetust saavad projektid panustavad </w:t>
            </w:r>
            <w:r w:rsidRPr="00A245DA">
              <w:rPr>
                <w:rFonts w:ascii="Times New Roman" w:hAnsi="Times New Roman" w:cs="Times New Roman"/>
                <w:b/>
                <w:lang w:eastAsia="et-EE"/>
              </w:rPr>
              <w:t>väljundnäitaja</w:t>
            </w:r>
            <w:r w:rsidRPr="00A245DA">
              <w:rPr>
                <w:rFonts w:ascii="Times New Roman" w:hAnsi="Times New Roman" w:cs="Times New Roman"/>
                <w:lang w:eastAsia="et-EE"/>
              </w:rPr>
              <w:t xml:space="preserve"> „Toetust saavate teadusasutustega koostööd tegevate ettevõtete arv“ sihttaseme saavutamisse (§ 3 lg 3)</w:t>
            </w:r>
            <w:r w:rsidR="0003387B" w:rsidRPr="00A245DA">
              <w:rPr>
                <w:rFonts w:ascii="Times New Roman" w:hAnsi="Times New Roman" w:cs="Times New Roman"/>
                <w:lang w:eastAsia="et-EE"/>
              </w:rPr>
              <w:t>.</w:t>
            </w:r>
          </w:p>
        </w:tc>
      </w:tr>
    </w:tbl>
    <w:p w14:paraId="3AA7D80D" w14:textId="77777777" w:rsidR="008C5D4B" w:rsidRPr="00A245DA" w:rsidRDefault="008C5D4B" w:rsidP="003A666F">
      <w:pPr>
        <w:pStyle w:val="NoSpacing"/>
        <w:jc w:val="both"/>
        <w:rPr>
          <w:rFonts w:ascii="Times New Roman" w:hAnsi="Times New Roman" w:cs="Times New Roman"/>
        </w:rPr>
      </w:pPr>
    </w:p>
    <w:p w14:paraId="543A17FE" w14:textId="6CA8E361" w:rsidR="00CE4559" w:rsidRPr="00A245DA" w:rsidRDefault="003A666F" w:rsidP="003A666F">
      <w:pPr>
        <w:pStyle w:val="NoSpacing"/>
        <w:jc w:val="both"/>
        <w:rPr>
          <w:rFonts w:ascii="Times New Roman" w:hAnsi="Times New Roman" w:cs="Times New Roman"/>
        </w:rPr>
      </w:pPr>
      <w:r w:rsidRPr="00A245DA">
        <w:rPr>
          <w:rFonts w:ascii="Times New Roman" w:hAnsi="Times New Roman" w:cs="Times New Roman"/>
        </w:rPr>
        <w:t>A</w:t>
      </w:r>
      <w:r w:rsidR="00DA0D2E" w:rsidRPr="00A245DA">
        <w:rPr>
          <w:rFonts w:ascii="Times New Roman" w:hAnsi="Times New Roman" w:cs="Times New Roman"/>
        </w:rPr>
        <w:t>sutustel</w:t>
      </w:r>
      <w:r w:rsidRPr="00A245DA">
        <w:rPr>
          <w:rFonts w:ascii="Times New Roman" w:hAnsi="Times New Roman" w:cs="Times New Roman"/>
        </w:rPr>
        <w:t xml:space="preserve"> on</w:t>
      </w:r>
      <w:r w:rsidR="00DA0D2E" w:rsidRPr="00A245DA">
        <w:rPr>
          <w:rFonts w:ascii="Times New Roman" w:hAnsi="Times New Roman" w:cs="Times New Roman"/>
        </w:rPr>
        <w:t xml:space="preserve"> võimalik toetust </w:t>
      </w:r>
      <w:r w:rsidRPr="00A245DA">
        <w:rPr>
          <w:rFonts w:ascii="Times New Roman" w:hAnsi="Times New Roman" w:cs="Times New Roman"/>
        </w:rPr>
        <w:t xml:space="preserve">taotleda </w:t>
      </w:r>
      <w:r w:rsidR="00293EC3" w:rsidRPr="00A245DA">
        <w:rPr>
          <w:rFonts w:ascii="Times New Roman" w:hAnsi="Times New Roman" w:cs="Times New Roman"/>
        </w:rPr>
        <w:t xml:space="preserve">ka </w:t>
      </w:r>
      <w:r w:rsidRPr="00A245DA">
        <w:rPr>
          <w:rFonts w:ascii="Times New Roman" w:hAnsi="Times New Roman" w:cs="Times New Roman"/>
        </w:rPr>
        <w:t xml:space="preserve">korraga mitmeks </w:t>
      </w:r>
      <w:r w:rsidR="00DA0D2E" w:rsidRPr="00A245DA">
        <w:rPr>
          <w:rFonts w:ascii="Times New Roman" w:hAnsi="Times New Roman" w:cs="Times New Roman"/>
        </w:rPr>
        <w:t>erineva</w:t>
      </w:r>
      <w:r w:rsidRPr="00A245DA">
        <w:rPr>
          <w:rFonts w:ascii="Times New Roman" w:hAnsi="Times New Roman" w:cs="Times New Roman"/>
        </w:rPr>
        <w:t>ks</w:t>
      </w:r>
      <w:r w:rsidR="00E4001A" w:rsidRPr="00A245DA">
        <w:rPr>
          <w:rFonts w:ascii="Times New Roman" w:hAnsi="Times New Roman" w:cs="Times New Roman"/>
        </w:rPr>
        <w:t xml:space="preserve"> tegevus</w:t>
      </w:r>
      <w:r w:rsidRPr="00A245DA">
        <w:rPr>
          <w:rFonts w:ascii="Times New Roman" w:hAnsi="Times New Roman" w:cs="Times New Roman"/>
        </w:rPr>
        <w:t>eks ja üks asutus võib seega panustada korraga mitme lõikes 2 nimetatud tulemuse saavutamisse</w:t>
      </w:r>
      <w:r w:rsidR="00E4001A" w:rsidRPr="00A245DA">
        <w:rPr>
          <w:rFonts w:ascii="Times New Roman" w:hAnsi="Times New Roman" w:cs="Times New Roman"/>
        </w:rPr>
        <w:t xml:space="preserve">. </w:t>
      </w:r>
    </w:p>
    <w:p w14:paraId="19AF4CA2" w14:textId="77777777" w:rsidR="00E079B5" w:rsidRPr="00A245DA" w:rsidRDefault="00E079B5" w:rsidP="003A666F">
      <w:pPr>
        <w:pStyle w:val="NoSpacing"/>
        <w:jc w:val="both"/>
        <w:rPr>
          <w:rFonts w:ascii="Times New Roman" w:hAnsi="Times New Roman" w:cs="Times New Roman"/>
        </w:rPr>
      </w:pPr>
    </w:p>
    <w:p w14:paraId="219ED746" w14:textId="2E732AF3" w:rsidR="003C135F" w:rsidRPr="00A245DA" w:rsidRDefault="00CE55BA" w:rsidP="003C135F">
      <w:pPr>
        <w:pStyle w:val="NoSpacing"/>
        <w:jc w:val="both"/>
        <w:rPr>
          <w:rFonts w:ascii="Times New Roman" w:hAnsi="Times New Roman" w:cs="Times New Roman"/>
        </w:rPr>
      </w:pPr>
      <w:r w:rsidRPr="00A245DA">
        <w:rPr>
          <w:rFonts w:ascii="Times New Roman" w:hAnsi="Times New Roman" w:cs="Times New Roman"/>
          <w:u w:val="single"/>
        </w:rPr>
        <w:t>Lõikes 3</w:t>
      </w:r>
      <w:r w:rsidRPr="00A245DA">
        <w:rPr>
          <w:rFonts w:ascii="Times New Roman" w:hAnsi="Times New Roman" w:cs="Times New Roman"/>
        </w:rPr>
        <w:t xml:space="preserve"> on nimetatud </w:t>
      </w:r>
      <w:r w:rsidR="00B60585" w:rsidRPr="00A245DA">
        <w:rPr>
          <w:rFonts w:ascii="Times New Roman" w:hAnsi="Times New Roman" w:cs="Times New Roman"/>
        </w:rPr>
        <w:t xml:space="preserve">ASTRA </w:t>
      </w:r>
      <w:r w:rsidRPr="00A245DA">
        <w:rPr>
          <w:rFonts w:ascii="Times New Roman" w:hAnsi="Times New Roman" w:cs="Times New Roman"/>
        </w:rPr>
        <w:t xml:space="preserve">väljundindikaator, milleks on </w:t>
      </w:r>
      <w:r w:rsidR="0003387B" w:rsidRPr="00A245DA">
        <w:rPr>
          <w:rFonts w:ascii="Times New Roman" w:hAnsi="Times New Roman" w:cs="Times New Roman"/>
        </w:rPr>
        <w:t>t</w:t>
      </w:r>
      <w:r w:rsidR="00CF08FA" w:rsidRPr="00A245DA">
        <w:rPr>
          <w:rFonts w:ascii="Times New Roman" w:hAnsi="Times New Roman" w:cs="Times New Roman"/>
        </w:rPr>
        <w:t xml:space="preserve">oetust saavate teadusasutustega koostööd tegevate ettevõtete arv. Indikaatori täitmisel loetakse teadusasutuseks </w:t>
      </w:r>
      <w:r w:rsidR="00B60585" w:rsidRPr="00A245DA">
        <w:rPr>
          <w:rFonts w:ascii="Times New Roman" w:hAnsi="Times New Roman" w:cs="Times New Roman"/>
        </w:rPr>
        <w:t xml:space="preserve">kõik võimalike taotlejatena määratletud asutused (§ 11 lg 1), seega </w:t>
      </w:r>
      <w:r w:rsidR="003A666F" w:rsidRPr="00A245DA">
        <w:rPr>
          <w:rFonts w:ascii="Times New Roman" w:hAnsi="Times New Roman" w:cs="Times New Roman"/>
        </w:rPr>
        <w:t xml:space="preserve">lisaks riigi ja avalik-õiguslikele teadus- ja arendusasutustele ka avalik-õiguslikud </w:t>
      </w:r>
      <w:r w:rsidR="00CF08FA" w:rsidRPr="00A245DA">
        <w:rPr>
          <w:rFonts w:ascii="Times New Roman" w:hAnsi="Times New Roman" w:cs="Times New Roman"/>
        </w:rPr>
        <w:t>ülikoolid</w:t>
      </w:r>
      <w:r w:rsidR="003A666F" w:rsidRPr="00A245DA">
        <w:rPr>
          <w:rFonts w:ascii="Times New Roman" w:hAnsi="Times New Roman" w:cs="Times New Roman"/>
        </w:rPr>
        <w:t xml:space="preserve"> ning riigi või</w:t>
      </w:r>
      <w:r w:rsidR="0063298E" w:rsidRPr="00A245DA">
        <w:rPr>
          <w:rFonts w:ascii="Times New Roman" w:hAnsi="Times New Roman" w:cs="Times New Roman"/>
        </w:rPr>
        <w:t xml:space="preserve"> </w:t>
      </w:r>
      <w:r w:rsidR="003A666F" w:rsidRPr="00A245DA">
        <w:rPr>
          <w:rFonts w:ascii="Times New Roman" w:hAnsi="Times New Roman" w:cs="Times New Roman"/>
        </w:rPr>
        <w:t>r</w:t>
      </w:r>
      <w:r w:rsidR="00B60585" w:rsidRPr="00A245DA">
        <w:rPr>
          <w:rFonts w:ascii="Times New Roman" w:hAnsi="Times New Roman" w:cs="Times New Roman"/>
          <w:lang w:eastAsia="et-EE"/>
        </w:rPr>
        <w:t>iigi asutatud sihtasutuste koosseisus tegutsev</w:t>
      </w:r>
      <w:r w:rsidR="003A666F" w:rsidRPr="00A245DA">
        <w:rPr>
          <w:rFonts w:ascii="Times New Roman" w:hAnsi="Times New Roman" w:cs="Times New Roman"/>
          <w:lang w:eastAsia="et-EE"/>
        </w:rPr>
        <w:t>ad</w:t>
      </w:r>
      <w:r w:rsidR="00B60585" w:rsidRPr="00A245DA">
        <w:rPr>
          <w:rFonts w:ascii="Times New Roman" w:hAnsi="Times New Roman" w:cs="Times New Roman"/>
          <w:lang w:eastAsia="et-EE"/>
        </w:rPr>
        <w:t xml:space="preserve"> kõrgkool</w:t>
      </w:r>
      <w:r w:rsidR="003A666F" w:rsidRPr="00A245DA">
        <w:rPr>
          <w:rFonts w:ascii="Times New Roman" w:hAnsi="Times New Roman" w:cs="Times New Roman"/>
          <w:lang w:eastAsia="et-EE"/>
        </w:rPr>
        <w:t>id.</w:t>
      </w:r>
      <w:r w:rsidR="003C135F" w:rsidRPr="00A245DA">
        <w:rPr>
          <w:rFonts w:ascii="Times New Roman" w:hAnsi="Times New Roman" w:cs="Times New Roman"/>
          <w:lang w:eastAsia="et-EE"/>
        </w:rPr>
        <w:t xml:space="preserve"> Ettevõtete arvu arvestatakse kumulatiivselt ja iga ettevõte läheb arvesse vaid üks kord.</w:t>
      </w:r>
      <w:r w:rsidR="00C2763D" w:rsidRPr="00A245DA">
        <w:rPr>
          <w:rFonts w:ascii="Times New Roman" w:hAnsi="Times New Roman" w:cs="Times New Roman"/>
          <w:lang w:eastAsia="et-EE"/>
        </w:rPr>
        <w:t xml:space="preserve"> Koostöö tegemise all mõeldakse lepingulist koostööd, sh ettevõttepoolset rahalist tellimust (nt ühiste uuringute läbiviimist, konsulteerimist vm</w:t>
      </w:r>
      <w:r w:rsidR="00A07F1C" w:rsidRPr="00A245DA">
        <w:rPr>
          <w:rFonts w:ascii="Times New Roman" w:hAnsi="Times New Roman" w:cs="Times New Roman"/>
          <w:lang w:eastAsia="et-EE"/>
        </w:rPr>
        <w:t>s</w:t>
      </w:r>
      <w:r w:rsidR="00C2763D" w:rsidRPr="00A245DA">
        <w:rPr>
          <w:rFonts w:ascii="Times New Roman" w:hAnsi="Times New Roman" w:cs="Times New Roman"/>
          <w:lang w:eastAsia="et-EE"/>
        </w:rPr>
        <w:t>).</w:t>
      </w:r>
    </w:p>
    <w:p w14:paraId="6658E0BA" w14:textId="64A824F6" w:rsidR="00CF08FA" w:rsidRPr="00A245DA" w:rsidRDefault="00CF08FA" w:rsidP="0063298E">
      <w:pPr>
        <w:pStyle w:val="NoSpacing"/>
        <w:jc w:val="both"/>
        <w:rPr>
          <w:rFonts w:ascii="Times New Roman" w:hAnsi="Times New Roman" w:cs="Times New Roman"/>
          <w:color w:val="0070C0"/>
        </w:rPr>
      </w:pPr>
    </w:p>
    <w:p w14:paraId="650F05B2" w14:textId="287A204B" w:rsidR="001C2A95" w:rsidRPr="00A245DA" w:rsidRDefault="00237511" w:rsidP="00CF08FA">
      <w:pPr>
        <w:pStyle w:val="PlainText"/>
        <w:jc w:val="both"/>
        <w:rPr>
          <w:rFonts w:ascii="Times New Roman" w:hAnsi="Times New Roman" w:cs="Times New Roman"/>
          <w:szCs w:val="22"/>
        </w:rPr>
      </w:pPr>
      <w:r w:rsidRPr="00A245DA">
        <w:rPr>
          <w:rFonts w:ascii="Times New Roman" w:hAnsi="Times New Roman" w:cs="Times New Roman"/>
          <w:szCs w:val="22"/>
        </w:rPr>
        <w:t xml:space="preserve">ASTRA raames toetatavate tegevuste sisu on lähemalt kirjeldatud seletuskirja § 6 puudutavas </w:t>
      </w:r>
      <w:r w:rsidR="0063298E" w:rsidRPr="00A245DA">
        <w:rPr>
          <w:rFonts w:ascii="Times New Roman" w:hAnsi="Times New Roman" w:cs="Times New Roman"/>
          <w:szCs w:val="22"/>
        </w:rPr>
        <w:t>selgituses</w:t>
      </w:r>
      <w:r w:rsidRPr="00A245DA">
        <w:rPr>
          <w:rFonts w:ascii="Times New Roman" w:hAnsi="Times New Roman" w:cs="Times New Roman"/>
          <w:szCs w:val="22"/>
        </w:rPr>
        <w:t xml:space="preserve">. </w:t>
      </w:r>
      <w:r w:rsidR="0063298E" w:rsidRPr="00A245DA">
        <w:rPr>
          <w:rFonts w:ascii="Times New Roman" w:hAnsi="Times New Roman" w:cs="Times New Roman"/>
          <w:szCs w:val="22"/>
        </w:rPr>
        <w:t>T</w:t>
      </w:r>
      <w:r w:rsidR="00817617" w:rsidRPr="00A245DA">
        <w:rPr>
          <w:rFonts w:ascii="Times New Roman" w:hAnsi="Times New Roman" w:cs="Times New Roman"/>
          <w:szCs w:val="22"/>
        </w:rPr>
        <w:t>oetatavad tegevused (</w:t>
      </w:r>
      <w:r w:rsidR="00883442" w:rsidRPr="00A245DA">
        <w:rPr>
          <w:rFonts w:ascii="Times New Roman" w:hAnsi="Times New Roman" w:cs="Times New Roman"/>
          <w:szCs w:val="22"/>
        </w:rPr>
        <w:t xml:space="preserve">loetletud </w:t>
      </w:r>
      <w:r w:rsidR="00817617" w:rsidRPr="00A245DA">
        <w:rPr>
          <w:rFonts w:ascii="Times New Roman" w:hAnsi="Times New Roman" w:cs="Times New Roman"/>
          <w:szCs w:val="22"/>
        </w:rPr>
        <w:t xml:space="preserve">§ 6 lg 1) võib jagada kahte kategooriasse: tegevused, mis </w:t>
      </w:r>
      <w:r w:rsidR="00817617" w:rsidRPr="00A245DA">
        <w:rPr>
          <w:rFonts w:ascii="Times New Roman" w:hAnsi="Times New Roman" w:cs="Times New Roman"/>
          <w:szCs w:val="22"/>
          <w:u w:val="single"/>
        </w:rPr>
        <w:t>otseselt panustavad</w:t>
      </w:r>
      <w:r w:rsidR="00817617" w:rsidRPr="00A245DA">
        <w:rPr>
          <w:rFonts w:ascii="Times New Roman" w:hAnsi="Times New Roman" w:cs="Times New Roman"/>
          <w:szCs w:val="22"/>
        </w:rPr>
        <w:t xml:space="preserve"> väljundindikaatori „Toetust saavate teadusasutustega koostööd tegevate ettevõtete arv“ </w:t>
      </w:r>
      <w:r w:rsidR="00883442" w:rsidRPr="00A245DA">
        <w:rPr>
          <w:rFonts w:ascii="Times New Roman" w:hAnsi="Times New Roman" w:cs="Times New Roman"/>
          <w:szCs w:val="22"/>
        </w:rPr>
        <w:t xml:space="preserve">täitmisse, ning tegevused, mis on väljundindikaatorisse panustamisel </w:t>
      </w:r>
      <w:r w:rsidR="00883442" w:rsidRPr="00A245DA">
        <w:rPr>
          <w:rFonts w:ascii="Times New Roman" w:hAnsi="Times New Roman" w:cs="Times New Roman"/>
          <w:szCs w:val="22"/>
          <w:u w:val="single"/>
        </w:rPr>
        <w:t>toetavate tegevuste rollis</w:t>
      </w:r>
      <w:r w:rsidR="00883442" w:rsidRPr="00A245DA">
        <w:rPr>
          <w:rFonts w:ascii="Times New Roman" w:hAnsi="Times New Roman" w:cs="Times New Roman"/>
          <w:szCs w:val="22"/>
        </w:rPr>
        <w:t xml:space="preserve">. Toetatavad projektid võivad </w:t>
      </w:r>
      <w:r w:rsidR="0063298E" w:rsidRPr="00A245DA">
        <w:rPr>
          <w:rFonts w:ascii="Times New Roman" w:hAnsi="Times New Roman" w:cs="Times New Roman"/>
          <w:szCs w:val="22"/>
        </w:rPr>
        <w:t xml:space="preserve">seega </w:t>
      </w:r>
      <w:r w:rsidR="00883442" w:rsidRPr="00A245DA">
        <w:rPr>
          <w:rFonts w:ascii="Times New Roman" w:hAnsi="Times New Roman" w:cs="Times New Roman"/>
          <w:szCs w:val="22"/>
        </w:rPr>
        <w:t>hõlmata nii otseselt väljundindikaatorisse panustavaid tegevusi (§ 6 lg 1 p 7) kui ka toetavaid tegevusi</w:t>
      </w:r>
      <w:r w:rsidR="0063298E" w:rsidRPr="00A245DA">
        <w:rPr>
          <w:rFonts w:ascii="Times New Roman" w:hAnsi="Times New Roman" w:cs="Times New Roman"/>
          <w:szCs w:val="22"/>
        </w:rPr>
        <w:t xml:space="preserve"> </w:t>
      </w:r>
      <w:r w:rsidR="00883442" w:rsidRPr="00A245DA">
        <w:rPr>
          <w:rFonts w:ascii="Times New Roman" w:hAnsi="Times New Roman" w:cs="Times New Roman"/>
          <w:szCs w:val="22"/>
        </w:rPr>
        <w:t xml:space="preserve">(§ 6 lg 1 p 1-6), </w:t>
      </w:r>
      <w:r w:rsidR="0063298E" w:rsidRPr="00A245DA">
        <w:rPr>
          <w:rFonts w:ascii="Times New Roman" w:hAnsi="Times New Roman" w:cs="Times New Roman"/>
          <w:szCs w:val="22"/>
        </w:rPr>
        <w:t>mille</w:t>
      </w:r>
      <w:r w:rsidR="00883442" w:rsidRPr="00A245DA">
        <w:rPr>
          <w:rFonts w:ascii="Times New Roman" w:hAnsi="Times New Roman" w:cs="Times New Roman"/>
          <w:szCs w:val="22"/>
        </w:rPr>
        <w:t xml:space="preserve"> puhul </w:t>
      </w:r>
      <w:r w:rsidR="0063298E" w:rsidRPr="00A245DA">
        <w:rPr>
          <w:rFonts w:ascii="Times New Roman" w:hAnsi="Times New Roman" w:cs="Times New Roman"/>
          <w:szCs w:val="22"/>
        </w:rPr>
        <w:t>väljundiks ei ole otseselt</w:t>
      </w:r>
      <w:r w:rsidR="00883442" w:rsidRPr="00A245DA">
        <w:rPr>
          <w:rFonts w:ascii="Times New Roman" w:hAnsi="Times New Roman" w:cs="Times New Roman"/>
          <w:szCs w:val="22"/>
        </w:rPr>
        <w:t xml:space="preserve"> asutustega koostööd tegevate ettevõtete arv, kuid </w:t>
      </w:r>
      <w:r w:rsidR="0063298E" w:rsidRPr="00A245DA">
        <w:rPr>
          <w:rFonts w:ascii="Times New Roman" w:hAnsi="Times New Roman" w:cs="Times New Roman"/>
          <w:szCs w:val="22"/>
        </w:rPr>
        <w:t>millel</w:t>
      </w:r>
      <w:r w:rsidR="00883442" w:rsidRPr="00A245DA">
        <w:rPr>
          <w:rFonts w:ascii="Times New Roman" w:hAnsi="Times New Roman" w:cs="Times New Roman"/>
          <w:szCs w:val="22"/>
        </w:rPr>
        <w:t xml:space="preserve"> on </w:t>
      </w:r>
      <w:r w:rsidR="00883442" w:rsidRPr="00A245DA">
        <w:rPr>
          <w:rFonts w:ascii="Times New Roman" w:hAnsi="Times New Roman" w:cs="Times New Roman"/>
          <w:szCs w:val="22"/>
          <w:u w:val="single"/>
        </w:rPr>
        <w:t>ettevõt</w:t>
      </w:r>
      <w:r w:rsidR="0078448E" w:rsidRPr="00A245DA">
        <w:rPr>
          <w:rFonts w:ascii="Times New Roman" w:hAnsi="Times New Roman" w:cs="Times New Roman"/>
          <w:szCs w:val="22"/>
          <w:u w:val="single"/>
        </w:rPr>
        <w:t>etega tehtavale koostööle</w:t>
      </w:r>
      <w:r w:rsidR="00D17676" w:rsidRPr="00A245DA">
        <w:rPr>
          <w:rFonts w:ascii="Times New Roman" w:hAnsi="Times New Roman" w:cs="Times New Roman"/>
          <w:szCs w:val="22"/>
          <w:u w:val="single"/>
        </w:rPr>
        <w:t xml:space="preserve"> eeldusi loov ja</w:t>
      </w:r>
      <w:r w:rsidR="00883442" w:rsidRPr="00A245DA">
        <w:rPr>
          <w:rFonts w:ascii="Times New Roman" w:hAnsi="Times New Roman" w:cs="Times New Roman"/>
          <w:szCs w:val="22"/>
          <w:u w:val="single"/>
        </w:rPr>
        <w:t xml:space="preserve"> toetav mõju</w:t>
      </w:r>
      <w:r w:rsidR="00883442" w:rsidRPr="00A245DA">
        <w:rPr>
          <w:rFonts w:ascii="Times New Roman" w:hAnsi="Times New Roman" w:cs="Times New Roman"/>
          <w:szCs w:val="22"/>
        </w:rPr>
        <w:t xml:space="preserve">. </w:t>
      </w:r>
    </w:p>
    <w:p w14:paraId="046258EE" w14:textId="77777777" w:rsidR="001C2A95" w:rsidRPr="00A245DA" w:rsidRDefault="001C2A95" w:rsidP="00CF08FA">
      <w:pPr>
        <w:pStyle w:val="PlainText"/>
        <w:jc w:val="both"/>
        <w:rPr>
          <w:rFonts w:ascii="Times New Roman" w:hAnsi="Times New Roman" w:cs="Times New Roman"/>
          <w:szCs w:val="22"/>
        </w:rPr>
      </w:pPr>
    </w:p>
    <w:p w14:paraId="19C70669" w14:textId="5F1DA15B" w:rsidR="001C2A95" w:rsidRPr="00A245DA" w:rsidRDefault="001C2A95" w:rsidP="001C2A95">
      <w:pPr>
        <w:pStyle w:val="PlainText"/>
        <w:jc w:val="both"/>
        <w:rPr>
          <w:rFonts w:ascii="Times New Roman" w:hAnsi="Times New Roman" w:cs="Times New Roman"/>
          <w:szCs w:val="22"/>
        </w:rPr>
      </w:pPr>
      <w:r w:rsidRPr="00A245DA">
        <w:rPr>
          <w:rFonts w:ascii="Times New Roman" w:hAnsi="Times New Roman" w:cs="Times New Roman"/>
          <w:szCs w:val="22"/>
        </w:rPr>
        <w:t>Ettevõt</w:t>
      </w:r>
      <w:r w:rsidR="0078448E" w:rsidRPr="00A245DA">
        <w:rPr>
          <w:rFonts w:ascii="Times New Roman" w:hAnsi="Times New Roman" w:cs="Times New Roman"/>
          <w:szCs w:val="22"/>
        </w:rPr>
        <w:t xml:space="preserve">etega tehtav </w:t>
      </w:r>
      <w:r w:rsidRPr="00A245DA">
        <w:rPr>
          <w:rFonts w:ascii="Times New Roman" w:hAnsi="Times New Roman" w:cs="Times New Roman"/>
          <w:szCs w:val="22"/>
        </w:rPr>
        <w:t xml:space="preserve">koostöö </w:t>
      </w:r>
      <w:r w:rsidR="0063298E" w:rsidRPr="00A245DA">
        <w:rPr>
          <w:rFonts w:ascii="Times New Roman" w:hAnsi="Times New Roman" w:cs="Times New Roman"/>
          <w:szCs w:val="22"/>
        </w:rPr>
        <w:t>on oluline nii</w:t>
      </w:r>
      <w:r w:rsidRPr="00A245DA">
        <w:rPr>
          <w:rFonts w:ascii="Times New Roman" w:hAnsi="Times New Roman" w:cs="Times New Roman"/>
          <w:szCs w:val="22"/>
        </w:rPr>
        <w:t xml:space="preserve"> kõrgkoolide (nt rakendusuuringute teostamise võimekuse kasv) kui teadus- ja arendusasutuste </w:t>
      </w:r>
      <w:r w:rsidR="0063298E" w:rsidRPr="00A245DA">
        <w:rPr>
          <w:rFonts w:ascii="Times New Roman" w:hAnsi="Times New Roman" w:cs="Times New Roman"/>
          <w:szCs w:val="22"/>
        </w:rPr>
        <w:t>jaoks</w:t>
      </w:r>
      <w:r w:rsidRPr="00A245DA">
        <w:rPr>
          <w:rFonts w:ascii="Times New Roman" w:hAnsi="Times New Roman" w:cs="Times New Roman"/>
          <w:szCs w:val="22"/>
        </w:rPr>
        <w:t xml:space="preserve"> (nt taristu avamine </w:t>
      </w:r>
      <w:r w:rsidR="0063298E" w:rsidRPr="00A245DA">
        <w:rPr>
          <w:rFonts w:ascii="Times New Roman" w:hAnsi="Times New Roman" w:cs="Times New Roman"/>
          <w:szCs w:val="22"/>
        </w:rPr>
        <w:t xml:space="preserve">ettevõtetele </w:t>
      </w:r>
      <w:r w:rsidRPr="00A245DA">
        <w:rPr>
          <w:rFonts w:ascii="Times New Roman" w:hAnsi="Times New Roman" w:cs="Times New Roman"/>
          <w:szCs w:val="22"/>
        </w:rPr>
        <w:t>kasutamiseks). Kuid ASTRA raames ei ole oluline mitte ainult otsene panus ettevõt</w:t>
      </w:r>
      <w:r w:rsidR="0078448E" w:rsidRPr="00A245DA">
        <w:rPr>
          <w:rFonts w:ascii="Times New Roman" w:hAnsi="Times New Roman" w:cs="Times New Roman"/>
          <w:szCs w:val="22"/>
        </w:rPr>
        <w:t xml:space="preserve">etega tehtavasse </w:t>
      </w:r>
      <w:r w:rsidRPr="00A245DA">
        <w:rPr>
          <w:rFonts w:ascii="Times New Roman" w:hAnsi="Times New Roman" w:cs="Times New Roman"/>
          <w:szCs w:val="22"/>
        </w:rPr>
        <w:t>koostöösse,</w:t>
      </w:r>
      <w:r w:rsidR="0063298E" w:rsidRPr="00A245DA">
        <w:rPr>
          <w:rFonts w:ascii="Times New Roman" w:hAnsi="Times New Roman" w:cs="Times New Roman"/>
          <w:szCs w:val="22"/>
        </w:rPr>
        <w:t xml:space="preserve"> mis väljendub kaasatud ettevõtete arvus, sõlmitavate lepingute arvu ja mahu kasvus või muul viisil</w:t>
      </w:r>
      <w:r w:rsidRPr="00A245DA">
        <w:rPr>
          <w:rFonts w:ascii="Times New Roman" w:hAnsi="Times New Roman" w:cs="Times New Roman"/>
          <w:szCs w:val="22"/>
        </w:rPr>
        <w:t xml:space="preserve">, vaid ka </w:t>
      </w:r>
      <w:r w:rsidRPr="00A245DA">
        <w:rPr>
          <w:rFonts w:ascii="Times New Roman" w:hAnsi="Times New Roman" w:cs="Times New Roman"/>
          <w:szCs w:val="22"/>
          <w:u w:val="single"/>
        </w:rPr>
        <w:t>laiema baasi ja eelduste loomine koostöö arendamiseks</w:t>
      </w:r>
      <w:r w:rsidRPr="00A245DA">
        <w:rPr>
          <w:rFonts w:ascii="Times New Roman" w:hAnsi="Times New Roman" w:cs="Times New Roman"/>
          <w:szCs w:val="22"/>
        </w:rPr>
        <w:t xml:space="preserve"> (sh </w:t>
      </w:r>
      <w:r w:rsidR="000C609E" w:rsidRPr="00A245DA">
        <w:rPr>
          <w:rFonts w:ascii="Times New Roman" w:hAnsi="Times New Roman" w:cs="Times New Roman"/>
          <w:szCs w:val="22"/>
        </w:rPr>
        <w:t xml:space="preserve">ettevõtluskoostöö </w:t>
      </w:r>
      <w:r w:rsidR="0078448E" w:rsidRPr="00A245DA">
        <w:rPr>
          <w:rFonts w:ascii="Times New Roman" w:hAnsi="Times New Roman" w:cs="Times New Roman"/>
          <w:szCs w:val="22"/>
        </w:rPr>
        <w:t xml:space="preserve">tegemise </w:t>
      </w:r>
      <w:r w:rsidRPr="00A245DA">
        <w:rPr>
          <w:rFonts w:ascii="Times New Roman" w:hAnsi="Times New Roman" w:cs="Times New Roman"/>
          <w:szCs w:val="22"/>
        </w:rPr>
        <w:t>potentsiaal</w:t>
      </w:r>
      <w:r w:rsidR="000C609E" w:rsidRPr="00A245DA">
        <w:rPr>
          <w:rFonts w:ascii="Times New Roman" w:hAnsi="Times New Roman" w:cs="Times New Roman"/>
          <w:szCs w:val="22"/>
        </w:rPr>
        <w:t>i suurendamine</w:t>
      </w:r>
      <w:r w:rsidRPr="00A245DA">
        <w:rPr>
          <w:rFonts w:ascii="Times New Roman" w:hAnsi="Times New Roman" w:cs="Times New Roman"/>
          <w:szCs w:val="22"/>
        </w:rPr>
        <w:t xml:space="preserve">, millel on ka pikemas perspektiivis suurem mõju). </w:t>
      </w:r>
      <w:r w:rsidR="0078448E" w:rsidRPr="00A245DA">
        <w:rPr>
          <w:rFonts w:ascii="Times New Roman" w:hAnsi="Times New Roman" w:cs="Times New Roman"/>
          <w:szCs w:val="22"/>
        </w:rPr>
        <w:t>Koostöö</w:t>
      </w:r>
      <w:r w:rsidR="000C609E" w:rsidRPr="00A245DA">
        <w:rPr>
          <w:rFonts w:ascii="Times New Roman" w:hAnsi="Times New Roman" w:cs="Times New Roman"/>
          <w:szCs w:val="22"/>
        </w:rPr>
        <w:t xml:space="preserve"> edendamiseks</w:t>
      </w:r>
      <w:r w:rsidR="0078448E" w:rsidRPr="00A245DA">
        <w:rPr>
          <w:rFonts w:ascii="Times New Roman" w:hAnsi="Times New Roman" w:cs="Times New Roman"/>
          <w:szCs w:val="22"/>
        </w:rPr>
        <w:t xml:space="preserve"> ettevõtetega</w:t>
      </w:r>
      <w:r w:rsidRPr="00A245DA">
        <w:rPr>
          <w:rFonts w:ascii="Times New Roman" w:hAnsi="Times New Roman" w:cs="Times New Roman"/>
          <w:szCs w:val="22"/>
        </w:rPr>
        <w:t xml:space="preserve"> tuleb valida komplekssem</w:t>
      </w:r>
      <w:r w:rsidR="000C609E" w:rsidRPr="00A245DA">
        <w:rPr>
          <w:rFonts w:ascii="Times New Roman" w:hAnsi="Times New Roman" w:cs="Times New Roman"/>
          <w:szCs w:val="22"/>
        </w:rPr>
        <w:t xml:space="preserve"> ja laiemat pilti hõlmav</w:t>
      </w:r>
      <w:r w:rsidRPr="00A245DA">
        <w:rPr>
          <w:rFonts w:ascii="Times New Roman" w:hAnsi="Times New Roman" w:cs="Times New Roman"/>
          <w:szCs w:val="22"/>
        </w:rPr>
        <w:t xml:space="preserve"> lähenemine. Selle tõttu </w:t>
      </w:r>
      <w:r w:rsidR="00C20705" w:rsidRPr="00A245DA">
        <w:rPr>
          <w:rFonts w:ascii="Times New Roman" w:hAnsi="Times New Roman" w:cs="Times New Roman"/>
          <w:szCs w:val="22"/>
        </w:rPr>
        <w:t>ei ole</w:t>
      </w:r>
      <w:r w:rsidR="000C609E" w:rsidRPr="00A245DA">
        <w:rPr>
          <w:rFonts w:ascii="Times New Roman" w:hAnsi="Times New Roman" w:cs="Times New Roman"/>
          <w:szCs w:val="22"/>
        </w:rPr>
        <w:t xml:space="preserve"> ASTRA kavandamisel</w:t>
      </w:r>
      <w:r w:rsidRPr="00A245DA">
        <w:rPr>
          <w:rFonts w:ascii="Times New Roman" w:hAnsi="Times New Roman" w:cs="Times New Roman"/>
          <w:szCs w:val="22"/>
        </w:rPr>
        <w:t xml:space="preserve"> keskendutud vaid nendele</w:t>
      </w:r>
      <w:r w:rsidR="00D17676" w:rsidRPr="00A245DA">
        <w:rPr>
          <w:rFonts w:ascii="Times New Roman" w:hAnsi="Times New Roman" w:cs="Times New Roman"/>
          <w:szCs w:val="22"/>
        </w:rPr>
        <w:t xml:space="preserve"> toetatavatele</w:t>
      </w:r>
      <w:r w:rsidRPr="00A245DA">
        <w:rPr>
          <w:rFonts w:ascii="Times New Roman" w:hAnsi="Times New Roman" w:cs="Times New Roman"/>
          <w:szCs w:val="22"/>
        </w:rPr>
        <w:t xml:space="preserve"> tegevustele, mis </w:t>
      </w:r>
      <w:r w:rsidR="000C609E" w:rsidRPr="00A245DA">
        <w:rPr>
          <w:rFonts w:ascii="Times New Roman" w:hAnsi="Times New Roman" w:cs="Times New Roman"/>
          <w:szCs w:val="22"/>
        </w:rPr>
        <w:t xml:space="preserve">otseselt väljenduvad </w:t>
      </w:r>
      <w:r w:rsidR="00C20705" w:rsidRPr="00A245DA">
        <w:rPr>
          <w:rFonts w:ascii="Times New Roman" w:hAnsi="Times New Roman" w:cs="Times New Roman"/>
          <w:szCs w:val="22"/>
        </w:rPr>
        <w:t xml:space="preserve">tegevuse </w:t>
      </w:r>
      <w:r w:rsidR="000C609E" w:rsidRPr="00A245DA">
        <w:rPr>
          <w:rFonts w:ascii="Times New Roman" w:hAnsi="Times New Roman" w:cs="Times New Roman"/>
          <w:szCs w:val="22"/>
        </w:rPr>
        <w:t>väljundnäitaja sihttaseme saavutamises</w:t>
      </w:r>
      <w:r w:rsidRPr="00A245DA">
        <w:rPr>
          <w:rFonts w:ascii="Times New Roman" w:hAnsi="Times New Roman" w:cs="Times New Roman"/>
          <w:szCs w:val="22"/>
        </w:rPr>
        <w:t xml:space="preserve">, vaid ka </w:t>
      </w:r>
      <w:r w:rsidR="00D17676" w:rsidRPr="00A245DA">
        <w:rPr>
          <w:rFonts w:ascii="Times New Roman" w:hAnsi="Times New Roman" w:cs="Times New Roman"/>
          <w:szCs w:val="22"/>
        </w:rPr>
        <w:t xml:space="preserve">toetatavatele </w:t>
      </w:r>
      <w:r w:rsidRPr="00A245DA">
        <w:rPr>
          <w:rFonts w:ascii="Times New Roman" w:hAnsi="Times New Roman" w:cs="Times New Roman"/>
          <w:szCs w:val="22"/>
          <w:u w:val="single"/>
        </w:rPr>
        <w:t xml:space="preserve">tegevustele, mis aitavad tõsta üldist teadus- ja </w:t>
      </w:r>
      <w:r w:rsidRPr="00A245DA">
        <w:rPr>
          <w:rFonts w:ascii="Times New Roman" w:hAnsi="Times New Roman" w:cs="Times New Roman"/>
          <w:szCs w:val="22"/>
          <w:u w:val="single"/>
        </w:rPr>
        <w:lastRenderedPageBreak/>
        <w:t xml:space="preserve">arendusasutuste ja kõrgkoolide võimekust </w:t>
      </w:r>
      <w:r w:rsidR="00C2763D" w:rsidRPr="00A245DA">
        <w:rPr>
          <w:rFonts w:ascii="Times New Roman" w:hAnsi="Times New Roman" w:cs="Times New Roman"/>
          <w:szCs w:val="22"/>
          <w:u w:val="single"/>
        </w:rPr>
        <w:t xml:space="preserve">ja motivatsiooni </w:t>
      </w:r>
      <w:r w:rsidRPr="00A245DA">
        <w:rPr>
          <w:rFonts w:ascii="Times New Roman" w:hAnsi="Times New Roman" w:cs="Times New Roman"/>
          <w:szCs w:val="22"/>
          <w:u w:val="single"/>
        </w:rPr>
        <w:t>ettevõt</w:t>
      </w:r>
      <w:r w:rsidR="0078448E" w:rsidRPr="00A245DA">
        <w:rPr>
          <w:rFonts w:ascii="Times New Roman" w:hAnsi="Times New Roman" w:cs="Times New Roman"/>
          <w:szCs w:val="22"/>
          <w:u w:val="single"/>
        </w:rPr>
        <w:t xml:space="preserve">etega </w:t>
      </w:r>
      <w:r w:rsidRPr="00A245DA">
        <w:rPr>
          <w:rFonts w:ascii="Times New Roman" w:hAnsi="Times New Roman" w:cs="Times New Roman"/>
          <w:szCs w:val="22"/>
          <w:u w:val="single"/>
        </w:rPr>
        <w:t>koostöö tegemiseks</w:t>
      </w:r>
      <w:r w:rsidR="000C609E" w:rsidRPr="00A245DA">
        <w:rPr>
          <w:rFonts w:ascii="Times New Roman" w:hAnsi="Times New Roman" w:cs="Times New Roman"/>
          <w:szCs w:val="22"/>
          <w:u w:val="single"/>
        </w:rPr>
        <w:t xml:space="preserve"> ja selles mõttes toetavad väljundnäitaja sihttaseme saavutamist</w:t>
      </w:r>
      <w:r w:rsidRPr="00A245DA">
        <w:rPr>
          <w:rFonts w:ascii="Times New Roman" w:hAnsi="Times New Roman" w:cs="Times New Roman"/>
          <w:szCs w:val="22"/>
        </w:rPr>
        <w:t>.</w:t>
      </w:r>
      <w:r w:rsidR="007276B9" w:rsidRPr="00A245DA">
        <w:rPr>
          <w:rFonts w:ascii="Times New Roman" w:hAnsi="Times New Roman" w:cs="Times New Roman"/>
          <w:szCs w:val="22"/>
        </w:rPr>
        <w:t xml:space="preserve"> </w:t>
      </w:r>
      <w:r w:rsidR="00451B82" w:rsidRPr="00A245DA">
        <w:rPr>
          <w:rFonts w:ascii="Times New Roman" w:hAnsi="Times New Roman" w:cs="Times New Roman"/>
          <w:color w:val="000000"/>
          <w:szCs w:val="22"/>
        </w:rPr>
        <w:t>Juhul kui</w:t>
      </w:r>
      <w:r w:rsidR="00867B65" w:rsidRPr="00A245DA">
        <w:rPr>
          <w:rFonts w:ascii="Times New Roman" w:hAnsi="Times New Roman" w:cs="Times New Roman"/>
          <w:color w:val="000000"/>
          <w:szCs w:val="22"/>
        </w:rPr>
        <w:t xml:space="preserve"> ettepanek ei hõlma </w:t>
      </w:r>
      <w:r w:rsidR="007276B9" w:rsidRPr="00A245DA">
        <w:rPr>
          <w:rFonts w:ascii="Times New Roman" w:hAnsi="Times New Roman" w:cs="Times New Roman"/>
          <w:color w:val="000000"/>
          <w:szCs w:val="22"/>
        </w:rPr>
        <w:t>ettevõt</w:t>
      </w:r>
      <w:r w:rsidR="0078448E" w:rsidRPr="00A245DA">
        <w:rPr>
          <w:rFonts w:ascii="Times New Roman" w:hAnsi="Times New Roman" w:cs="Times New Roman"/>
          <w:color w:val="000000"/>
          <w:szCs w:val="22"/>
        </w:rPr>
        <w:t xml:space="preserve">etega tehtava </w:t>
      </w:r>
      <w:r w:rsidR="007276B9" w:rsidRPr="00A245DA">
        <w:rPr>
          <w:rFonts w:ascii="Times New Roman" w:hAnsi="Times New Roman" w:cs="Times New Roman"/>
          <w:color w:val="000000"/>
          <w:szCs w:val="22"/>
        </w:rPr>
        <w:t>koostöö arendamise tegevus</w:t>
      </w:r>
      <w:r w:rsidR="00867B65" w:rsidRPr="00A245DA">
        <w:rPr>
          <w:rFonts w:ascii="Times New Roman" w:hAnsi="Times New Roman" w:cs="Times New Roman"/>
          <w:color w:val="000000"/>
          <w:szCs w:val="22"/>
        </w:rPr>
        <w:t>i</w:t>
      </w:r>
      <w:r w:rsidR="007276B9" w:rsidRPr="00A245DA">
        <w:rPr>
          <w:rFonts w:ascii="Times New Roman" w:hAnsi="Times New Roman" w:cs="Times New Roman"/>
          <w:color w:val="000000"/>
          <w:szCs w:val="22"/>
        </w:rPr>
        <w:t xml:space="preserve"> (</w:t>
      </w:r>
      <w:r w:rsidR="00451B82" w:rsidRPr="00A245DA">
        <w:rPr>
          <w:rFonts w:ascii="Times New Roman" w:hAnsi="Times New Roman" w:cs="Times New Roman"/>
          <w:color w:val="000000"/>
          <w:szCs w:val="22"/>
        </w:rPr>
        <w:t>§ 6</w:t>
      </w:r>
      <w:r w:rsidR="007276B9" w:rsidRPr="00A245DA">
        <w:rPr>
          <w:rFonts w:ascii="Times New Roman" w:hAnsi="Times New Roman" w:cs="Times New Roman"/>
          <w:color w:val="000000"/>
          <w:szCs w:val="22"/>
        </w:rPr>
        <w:t xml:space="preserve"> lg 1 p 7)</w:t>
      </w:r>
      <w:r w:rsidR="00451B82" w:rsidRPr="00A245DA">
        <w:rPr>
          <w:rFonts w:ascii="Times New Roman" w:hAnsi="Times New Roman" w:cs="Times New Roman"/>
          <w:color w:val="000000"/>
          <w:szCs w:val="22"/>
        </w:rPr>
        <w:t>, tuleb ettepaneku esitajal kirjeldada, kuidas kavandatud teised tegevused aitavad luua ettevõt</w:t>
      </w:r>
      <w:r w:rsidR="0078448E" w:rsidRPr="00A245DA">
        <w:rPr>
          <w:rFonts w:ascii="Times New Roman" w:hAnsi="Times New Roman" w:cs="Times New Roman"/>
          <w:color w:val="000000"/>
          <w:szCs w:val="22"/>
        </w:rPr>
        <w:t xml:space="preserve">etega tehtavale </w:t>
      </w:r>
      <w:r w:rsidR="00451B82" w:rsidRPr="00A245DA">
        <w:rPr>
          <w:rFonts w:ascii="Times New Roman" w:hAnsi="Times New Roman" w:cs="Times New Roman"/>
          <w:color w:val="000000"/>
          <w:szCs w:val="22"/>
        </w:rPr>
        <w:t xml:space="preserve">koostööle eeldusi või omavad </w:t>
      </w:r>
      <w:r w:rsidR="0078448E" w:rsidRPr="00A245DA">
        <w:rPr>
          <w:rFonts w:ascii="Times New Roman" w:hAnsi="Times New Roman" w:cs="Times New Roman"/>
          <w:color w:val="000000"/>
          <w:szCs w:val="22"/>
        </w:rPr>
        <w:t xml:space="preserve">sellele </w:t>
      </w:r>
      <w:r w:rsidR="00451B82" w:rsidRPr="00A245DA">
        <w:rPr>
          <w:rFonts w:ascii="Times New Roman" w:hAnsi="Times New Roman" w:cs="Times New Roman"/>
          <w:color w:val="000000"/>
          <w:szCs w:val="22"/>
        </w:rPr>
        <w:t>toetavat mõju</w:t>
      </w:r>
      <w:r w:rsidR="007276B9" w:rsidRPr="00A245DA">
        <w:rPr>
          <w:rFonts w:ascii="Times New Roman" w:hAnsi="Times New Roman" w:cs="Times New Roman"/>
          <w:color w:val="000000"/>
          <w:szCs w:val="22"/>
        </w:rPr>
        <w:t xml:space="preserve"> (§ 11 lg 2 p 4 nõue)</w:t>
      </w:r>
      <w:r w:rsidR="00451B82" w:rsidRPr="00A245DA">
        <w:rPr>
          <w:rFonts w:ascii="Times New Roman" w:hAnsi="Times New Roman" w:cs="Times New Roman"/>
          <w:color w:val="000000"/>
          <w:szCs w:val="22"/>
        </w:rPr>
        <w:t xml:space="preserve">. </w:t>
      </w:r>
    </w:p>
    <w:p w14:paraId="1F45BCB5" w14:textId="77777777" w:rsidR="0078098E" w:rsidRPr="00A245DA" w:rsidRDefault="0078098E" w:rsidP="00CF08FA">
      <w:pPr>
        <w:pStyle w:val="PlainText"/>
        <w:jc w:val="both"/>
        <w:rPr>
          <w:rFonts w:ascii="Times New Roman" w:hAnsi="Times New Roman" w:cs="Times New Roman"/>
          <w:szCs w:val="22"/>
          <w:u w:val="single"/>
        </w:rPr>
      </w:pPr>
    </w:p>
    <w:p w14:paraId="4C7A6996" w14:textId="3D639408" w:rsidR="00883442" w:rsidRPr="00A245DA" w:rsidRDefault="00883442" w:rsidP="00CF08FA">
      <w:pPr>
        <w:pStyle w:val="PlainText"/>
        <w:jc w:val="both"/>
        <w:rPr>
          <w:rFonts w:ascii="Times New Roman" w:hAnsi="Times New Roman" w:cs="Times New Roman"/>
          <w:szCs w:val="22"/>
          <w:u w:val="single"/>
        </w:rPr>
      </w:pPr>
      <w:r w:rsidRPr="00A245DA">
        <w:rPr>
          <w:rFonts w:ascii="Times New Roman" w:hAnsi="Times New Roman" w:cs="Times New Roman"/>
          <w:szCs w:val="22"/>
          <w:u w:val="single"/>
        </w:rPr>
        <w:t xml:space="preserve">Toetavate tegevuste panus </w:t>
      </w:r>
      <w:r w:rsidR="00AC10E2" w:rsidRPr="00A245DA">
        <w:rPr>
          <w:rFonts w:ascii="Times New Roman" w:hAnsi="Times New Roman" w:cs="Times New Roman"/>
          <w:szCs w:val="22"/>
          <w:u w:val="single"/>
        </w:rPr>
        <w:t>ettevõt</w:t>
      </w:r>
      <w:r w:rsidR="0078448E" w:rsidRPr="00A245DA">
        <w:rPr>
          <w:rFonts w:ascii="Times New Roman" w:hAnsi="Times New Roman" w:cs="Times New Roman"/>
          <w:szCs w:val="22"/>
          <w:u w:val="single"/>
        </w:rPr>
        <w:t xml:space="preserve">etega tehtava </w:t>
      </w:r>
      <w:r w:rsidR="00AC10E2" w:rsidRPr="00A245DA">
        <w:rPr>
          <w:rFonts w:ascii="Times New Roman" w:hAnsi="Times New Roman" w:cs="Times New Roman"/>
          <w:szCs w:val="22"/>
          <w:u w:val="single"/>
        </w:rPr>
        <w:t xml:space="preserve">koostöö arendamisse ja </w:t>
      </w:r>
      <w:r w:rsidRPr="00A245DA">
        <w:rPr>
          <w:rFonts w:ascii="Times New Roman" w:hAnsi="Times New Roman" w:cs="Times New Roman"/>
          <w:szCs w:val="22"/>
          <w:u w:val="single"/>
        </w:rPr>
        <w:t>väljundindikaatori täitmisse väljendub järgmiselt:</w:t>
      </w:r>
    </w:p>
    <w:p w14:paraId="1CD0E469" w14:textId="713572D7" w:rsidR="00883442" w:rsidRPr="00A245DA" w:rsidRDefault="00883442" w:rsidP="00883442">
      <w:pPr>
        <w:spacing w:after="0"/>
        <w:outlineLvl w:val="2"/>
        <w:rPr>
          <w:rFonts w:ascii="Times New Roman" w:hAnsi="Times New Roman"/>
          <w:bCs/>
          <w:lang w:eastAsia="et-EE"/>
        </w:rPr>
      </w:pPr>
      <w:r w:rsidRPr="00A245DA">
        <w:rPr>
          <w:rFonts w:ascii="Times New Roman" w:hAnsi="Times New Roman"/>
        </w:rPr>
        <w:t>1) teadus- ja õppehoonete</w:t>
      </w:r>
      <w:r w:rsidRPr="00A245DA">
        <w:rPr>
          <w:rFonts w:ascii="Times New Roman" w:hAnsi="Times New Roman"/>
          <w:bCs/>
          <w:lang w:eastAsia="et-EE"/>
        </w:rPr>
        <w:t xml:space="preserve"> </w:t>
      </w:r>
      <w:r w:rsidR="00E42F0F" w:rsidRPr="00A245DA">
        <w:rPr>
          <w:rFonts w:ascii="Times New Roman" w:hAnsi="Times New Roman"/>
          <w:bCs/>
          <w:lang w:eastAsia="et-EE"/>
        </w:rPr>
        <w:t xml:space="preserve">rajamine, sh </w:t>
      </w:r>
      <w:r w:rsidRPr="00A245DA">
        <w:rPr>
          <w:rFonts w:ascii="Times New Roman" w:hAnsi="Times New Roman"/>
          <w:bCs/>
          <w:lang w:eastAsia="et-EE"/>
        </w:rPr>
        <w:t xml:space="preserve">projekteerimine, ehitamine, rekonstrueerimine ja sisustamine </w:t>
      </w:r>
      <w:r w:rsidR="00533A7E" w:rsidRPr="00A245DA">
        <w:rPr>
          <w:rFonts w:ascii="Times New Roman" w:hAnsi="Times New Roman"/>
          <w:bCs/>
          <w:lang w:eastAsia="et-EE"/>
        </w:rPr>
        <w:t>loob</w:t>
      </w:r>
      <w:r w:rsidRPr="00A245DA">
        <w:rPr>
          <w:rFonts w:ascii="Times New Roman" w:hAnsi="Times New Roman"/>
          <w:bCs/>
          <w:lang w:eastAsia="et-EE"/>
        </w:rPr>
        <w:t xml:space="preserve"> teadus- ja arendusasutustes ja kõrgkoolides ettevõtluskoostöö arendamiseks vajaliku </w:t>
      </w:r>
      <w:r w:rsidR="00533A7E" w:rsidRPr="00A245DA">
        <w:rPr>
          <w:rFonts w:ascii="Times New Roman" w:hAnsi="Times New Roman"/>
          <w:bCs/>
          <w:lang w:eastAsia="et-EE"/>
        </w:rPr>
        <w:t>„</w:t>
      </w:r>
      <w:r w:rsidRPr="00A245DA">
        <w:rPr>
          <w:rFonts w:ascii="Times New Roman" w:hAnsi="Times New Roman"/>
          <w:bCs/>
          <w:lang w:eastAsia="et-EE"/>
        </w:rPr>
        <w:t>tehnilise</w:t>
      </w:r>
      <w:r w:rsidR="00533A7E" w:rsidRPr="00A245DA">
        <w:rPr>
          <w:rFonts w:ascii="Times New Roman" w:hAnsi="Times New Roman"/>
          <w:bCs/>
          <w:lang w:eastAsia="et-EE"/>
        </w:rPr>
        <w:t>“</w:t>
      </w:r>
      <w:r w:rsidRPr="00A245DA">
        <w:rPr>
          <w:rFonts w:ascii="Times New Roman" w:hAnsi="Times New Roman"/>
          <w:bCs/>
          <w:lang w:eastAsia="et-EE"/>
        </w:rPr>
        <w:t xml:space="preserve"> baasi ja keskkonna, mis võimaldab juba toimivat ettevõtluskoostööd tugevdada, avada uusi koostööperspektiive, arendada </w:t>
      </w:r>
      <w:r w:rsidR="00D17676" w:rsidRPr="00A245DA">
        <w:rPr>
          <w:rFonts w:ascii="Times New Roman" w:hAnsi="Times New Roman"/>
          <w:bCs/>
          <w:lang w:eastAsia="et-EE"/>
        </w:rPr>
        <w:t xml:space="preserve">uusi </w:t>
      </w:r>
      <w:r w:rsidR="0099697B" w:rsidRPr="00A245DA">
        <w:rPr>
          <w:rFonts w:ascii="Times New Roman" w:hAnsi="Times New Roman"/>
          <w:bCs/>
          <w:lang w:eastAsia="et-EE"/>
        </w:rPr>
        <w:t xml:space="preserve">ja innovatiivseid </w:t>
      </w:r>
      <w:r w:rsidRPr="00A245DA">
        <w:rPr>
          <w:rFonts w:ascii="Times New Roman" w:hAnsi="Times New Roman"/>
          <w:bCs/>
          <w:lang w:eastAsia="et-EE"/>
        </w:rPr>
        <w:t>teenuseid</w:t>
      </w:r>
      <w:r w:rsidR="0099697B" w:rsidRPr="00A245DA">
        <w:rPr>
          <w:rFonts w:ascii="Times New Roman" w:hAnsi="Times New Roman"/>
          <w:bCs/>
          <w:lang w:eastAsia="et-EE"/>
        </w:rPr>
        <w:t>,</w:t>
      </w:r>
      <w:r w:rsidR="00D17676" w:rsidRPr="00A245DA">
        <w:rPr>
          <w:rFonts w:ascii="Times New Roman" w:hAnsi="Times New Roman"/>
          <w:bCs/>
          <w:lang w:eastAsia="et-EE"/>
        </w:rPr>
        <w:t xml:space="preserve"> </w:t>
      </w:r>
      <w:r w:rsidR="0099697B" w:rsidRPr="00A245DA">
        <w:rPr>
          <w:rFonts w:ascii="Times New Roman" w:hAnsi="Times New Roman"/>
          <w:bCs/>
          <w:lang w:eastAsia="et-EE"/>
        </w:rPr>
        <w:t xml:space="preserve">mis ilma tehnilise baasita polnud seni võimalik, </w:t>
      </w:r>
      <w:r w:rsidRPr="00A245DA">
        <w:rPr>
          <w:rFonts w:ascii="Times New Roman" w:hAnsi="Times New Roman"/>
          <w:bCs/>
          <w:lang w:eastAsia="et-EE"/>
        </w:rPr>
        <w:t>või l</w:t>
      </w:r>
      <w:r w:rsidR="00D17676" w:rsidRPr="00A245DA">
        <w:rPr>
          <w:rFonts w:ascii="Times New Roman" w:hAnsi="Times New Roman"/>
          <w:bCs/>
          <w:lang w:eastAsia="et-EE"/>
        </w:rPr>
        <w:t>oob</w:t>
      </w:r>
      <w:r w:rsidRPr="00A245DA">
        <w:rPr>
          <w:rFonts w:ascii="Times New Roman" w:hAnsi="Times New Roman"/>
          <w:bCs/>
          <w:lang w:eastAsia="et-EE"/>
        </w:rPr>
        <w:t xml:space="preserve"> eeldused ettevõtluskoostöö algatamiseks;</w:t>
      </w:r>
    </w:p>
    <w:p w14:paraId="14D74413" w14:textId="3F47EDDD" w:rsidR="00883442" w:rsidRPr="00A245DA" w:rsidRDefault="00883442" w:rsidP="00237511">
      <w:pPr>
        <w:tabs>
          <w:tab w:val="left" w:pos="0"/>
        </w:tabs>
        <w:spacing w:after="0"/>
        <w:rPr>
          <w:rFonts w:ascii="Times New Roman" w:hAnsi="Times New Roman"/>
          <w:lang w:eastAsia="et-EE"/>
        </w:rPr>
      </w:pPr>
      <w:r w:rsidRPr="00A245DA">
        <w:rPr>
          <w:rFonts w:ascii="Times New Roman" w:hAnsi="Times New Roman"/>
        </w:rPr>
        <w:t>2) struktuursete ümberkorralduste läbiviimine</w:t>
      </w:r>
      <w:r w:rsidR="00237511" w:rsidRPr="00A245DA">
        <w:rPr>
          <w:rFonts w:ascii="Times New Roman" w:hAnsi="Times New Roman"/>
        </w:rPr>
        <w:t xml:space="preserve"> võimaldab teadus- ja arendus- ning kõrgharidussüsteemil tõhusamalt toimida, kuna vähendab nt õppe- ja teadustöö dubleerimist ja võimaldab asutuses kasutada ressursse efektiivsemalt, suurendada selle kaudu asutuste (majanduslikku) jätkusuutlikkust</w:t>
      </w:r>
      <w:r w:rsidR="00533A7E" w:rsidRPr="00A245DA">
        <w:rPr>
          <w:rFonts w:ascii="Times New Roman" w:hAnsi="Times New Roman"/>
        </w:rPr>
        <w:t xml:space="preserve">, </w:t>
      </w:r>
      <w:r w:rsidR="00237511" w:rsidRPr="00A245DA">
        <w:rPr>
          <w:rFonts w:ascii="Times New Roman" w:hAnsi="Times New Roman"/>
        </w:rPr>
        <w:t>tugevdada vastutusvaldkondi</w:t>
      </w:r>
      <w:r w:rsidR="00533A7E" w:rsidRPr="00A245DA">
        <w:rPr>
          <w:rFonts w:ascii="Times New Roman" w:hAnsi="Times New Roman"/>
        </w:rPr>
        <w:t xml:space="preserve"> ning kasvatada asutuste võimekust ettevõtluskoostöös osalemiseks</w:t>
      </w:r>
      <w:r w:rsidR="00237511" w:rsidRPr="00A245DA">
        <w:rPr>
          <w:rFonts w:ascii="Times New Roman" w:hAnsi="Times New Roman"/>
        </w:rPr>
        <w:t xml:space="preserve">. See loob </w:t>
      </w:r>
      <w:r w:rsidR="00B72359" w:rsidRPr="00A245DA">
        <w:rPr>
          <w:rFonts w:ascii="Times New Roman" w:hAnsi="Times New Roman"/>
        </w:rPr>
        <w:t xml:space="preserve">asutustes </w:t>
      </w:r>
      <w:r w:rsidR="00237511" w:rsidRPr="00A245DA">
        <w:rPr>
          <w:rFonts w:ascii="Times New Roman" w:hAnsi="Times New Roman"/>
        </w:rPr>
        <w:t>ettevõtluskoostöö arendamiseks vajalikud ja stabiilsed eeldused</w:t>
      </w:r>
      <w:r w:rsidRPr="00A245DA">
        <w:rPr>
          <w:rFonts w:ascii="Times New Roman" w:hAnsi="Times New Roman"/>
        </w:rPr>
        <w:t xml:space="preserve">; </w:t>
      </w:r>
    </w:p>
    <w:p w14:paraId="215B3BA9" w14:textId="557E39CC" w:rsidR="00883442" w:rsidRPr="00A245DA" w:rsidRDefault="00883442" w:rsidP="004C5001">
      <w:pPr>
        <w:tabs>
          <w:tab w:val="left" w:pos="0"/>
        </w:tabs>
        <w:spacing w:after="0"/>
        <w:rPr>
          <w:rFonts w:ascii="Times New Roman" w:hAnsi="Times New Roman"/>
          <w:lang w:eastAsia="et-EE"/>
        </w:rPr>
      </w:pPr>
      <w:r w:rsidRPr="00A245DA">
        <w:rPr>
          <w:rFonts w:ascii="Times New Roman" w:hAnsi="Times New Roman"/>
        </w:rPr>
        <w:t xml:space="preserve">3) õppe- ja teadustöö kvaliteedi </w:t>
      </w:r>
      <w:r w:rsidR="00E24727" w:rsidRPr="00A245DA">
        <w:rPr>
          <w:rFonts w:ascii="Times New Roman" w:hAnsi="Times New Roman"/>
        </w:rPr>
        <w:t xml:space="preserve">ja efektiivsuse </w:t>
      </w:r>
      <w:r w:rsidRPr="00A245DA">
        <w:rPr>
          <w:rFonts w:ascii="Times New Roman" w:hAnsi="Times New Roman"/>
        </w:rPr>
        <w:t>tõstmisele suunatud tegevus</w:t>
      </w:r>
      <w:r w:rsidR="004C5001" w:rsidRPr="00A245DA">
        <w:rPr>
          <w:rFonts w:ascii="Times New Roman" w:hAnsi="Times New Roman"/>
        </w:rPr>
        <w:t>tel on otsene seos teadm</w:t>
      </w:r>
      <w:r w:rsidR="0099697B" w:rsidRPr="00A245DA">
        <w:rPr>
          <w:rFonts w:ascii="Times New Roman" w:hAnsi="Times New Roman"/>
        </w:rPr>
        <w:t>us</w:t>
      </w:r>
      <w:r w:rsidR="004C5001" w:rsidRPr="00A245DA">
        <w:rPr>
          <w:rFonts w:ascii="Times New Roman" w:hAnsi="Times New Roman"/>
        </w:rPr>
        <w:t xml:space="preserve">mahuka ettevõtluse jaoks kvaliteetse sisendi pakkumisega. </w:t>
      </w:r>
      <w:r w:rsidR="00533A7E" w:rsidRPr="00A245DA">
        <w:rPr>
          <w:rFonts w:ascii="Times New Roman" w:hAnsi="Times New Roman"/>
        </w:rPr>
        <w:t>A</w:t>
      </w:r>
      <w:r w:rsidR="00B72359" w:rsidRPr="00A245DA">
        <w:rPr>
          <w:rFonts w:ascii="Times New Roman" w:hAnsi="Times New Roman"/>
        </w:rPr>
        <w:t>sutuste võimekuse suurendamine selles vallas tagab parema sisendi ettevõtetele.</w:t>
      </w:r>
      <w:r w:rsidR="004C5001" w:rsidRPr="00A245DA">
        <w:rPr>
          <w:rFonts w:ascii="Times New Roman" w:hAnsi="Times New Roman"/>
        </w:rPr>
        <w:t xml:space="preserve"> </w:t>
      </w:r>
      <w:r w:rsidR="00F66C68" w:rsidRPr="00A245DA">
        <w:rPr>
          <w:rFonts w:ascii="Times New Roman" w:hAnsi="Times New Roman"/>
        </w:rPr>
        <w:t xml:space="preserve">Nende tegevuste puhul </w:t>
      </w:r>
      <w:r w:rsidR="004C5001" w:rsidRPr="00A245DA">
        <w:rPr>
          <w:rFonts w:ascii="Times New Roman" w:hAnsi="Times New Roman"/>
        </w:rPr>
        <w:t>tuleb asutustel arves</w:t>
      </w:r>
      <w:r w:rsidR="00B72359" w:rsidRPr="00A245DA">
        <w:rPr>
          <w:rFonts w:ascii="Times New Roman" w:hAnsi="Times New Roman"/>
        </w:rPr>
        <w:t>se võtta</w:t>
      </w:r>
      <w:r w:rsidR="004C5001" w:rsidRPr="00A245DA">
        <w:rPr>
          <w:rFonts w:ascii="Times New Roman" w:hAnsi="Times New Roman"/>
        </w:rPr>
        <w:t xml:space="preserve"> ka nutika spetsialiseerumise  kasvuvaldkondade arenguvajadus</w:t>
      </w:r>
      <w:r w:rsidR="00B72359" w:rsidRPr="00A245DA">
        <w:rPr>
          <w:rFonts w:ascii="Times New Roman" w:hAnsi="Times New Roman"/>
        </w:rPr>
        <w:t>i</w:t>
      </w:r>
      <w:r w:rsidR="004C5001" w:rsidRPr="00A245DA">
        <w:rPr>
          <w:rFonts w:ascii="Times New Roman" w:hAnsi="Times New Roman"/>
        </w:rPr>
        <w:t xml:space="preserve">. </w:t>
      </w:r>
      <w:r w:rsidR="00F66C68" w:rsidRPr="00A245DA">
        <w:rPr>
          <w:rFonts w:ascii="Times New Roman" w:hAnsi="Times New Roman"/>
        </w:rPr>
        <w:t>Lisaks on õppe- ja teadustöö kvaliteedi tõstmine seotud tööturuvajaduste arvestamise</w:t>
      </w:r>
      <w:r w:rsidR="00533A7E" w:rsidRPr="00A245DA">
        <w:rPr>
          <w:rFonts w:ascii="Times New Roman" w:hAnsi="Times New Roman"/>
        </w:rPr>
        <w:t xml:space="preserve"> ning teadlaste ja inseneride järelkasvu</w:t>
      </w:r>
      <w:r w:rsidR="004C5001" w:rsidRPr="00A245DA">
        <w:rPr>
          <w:rFonts w:ascii="Times New Roman" w:hAnsi="Times New Roman"/>
        </w:rPr>
        <w:t xml:space="preserve">, sh ettevõtlussektori tööjõuvajaduste </w:t>
      </w:r>
      <w:r w:rsidR="00533A7E" w:rsidRPr="00A245DA">
        <w:rPr>
          <w:rFonts w:ascii="Times New Roman" w:hAnsi="Times New Roman"/>
        </w:rPr>
        <w:t>arvestamisega</w:t>
      </w:r>
      <w:r w:rsidR="00B72359" w:rsidRPr="00A245DA">
        <w:rPr>
          <w:rFonts w:ascii="Times New Roman" w:hAnsi="Times New Roman"/>
        </w:rPr>
        <w:t>;</w:t>
      </w:r>
      <w:r w:rsidR="00F66C68" w:rsidRPr="00A245DA">
        <w:rPr>
          <w:rFonts w:ascii="Times New Roman" w:hAnsi="Times New Roman"/>
        </w:rPr>
        <w:t xml:space="preserve"> </w:t>
      </w:r>
    </w:p>
    <w:p w14:paraId="440C830F" w14:textId="2ECB7DEA" w:rsidR="00883442" w:rsidRPr="00A245DA" w:rsidRDefault="00883442" w:rsidP="00B72359">
      <w:pPr>
        <w:tabs>
          <w:tab w:val="left" w:pos="0"/>
        </w:tabs>
        <w:spacing w:after="0"/>
        <w:rPr>
          <w:rFonts w:ascii="Times New Roman" w:hAnsi="Times New Roman"/>
          <w:lang w:eastAsia="et-EE"/>
        </w:rPr>
      </w:pPr>
      <w:r w:rsidRPr="00A245DA">
        <w:rPr>
          <w:rFonts w:ascii="Times New Roman" w:hAnsi="Times New Roman"/>
          <w:lang w:eastAsia="et-EE"/>
        </w:rPr>
        <w:t xml:space="preserve">4) </w:t>
      </w:r>
      <w:r w:rsidRPr="00A245DA">
        <w:rPr>
          <w:rFonts w:ascii="Times New Roman" w:hAnsi="Times New Roman"/>
        </w:rPr>
        <w:t xml:space="preserve">doktoriõppe </w:t>
      </w:r>
      <w:r w:rsidR="00E24727" w:rsidRPr="00A245DA">
        <w:rPr>
          <w:rFonts w:ascii="Times New Roman" w:hAnsi="Times New Roman"/>
        </w:rPr>
        <w:t xml:space="preserve">kvaliteedi ja </w:t>
      </w:r>
      <w:r w:rsidRPr="00A245DA">
        <w:rPr>
          <w:rFonts w:ascii="Times New Roman" w:hAnsi="Times New Roman"/>
        </w:rPr>
        <w:t>efektiivsuse</w:t>
      </w:r>
      <w:r w:rsidR="00B72359" w:rsidRPr="00A245DA">
        <w:rPr>
          <w:rFonts w:ascii="Times New Roman" w:hAnsi="Times New Roman"/>
        </w:rPr>
        <w:t xml:space="preserve"> </w:t>
      </w:r>
      <w:r w:rsidR="00D17676" w:rsidRPr="00A245DA">
        <w:rPr>
          <w:rFonts w:ascii="Times New Roman" w:hAnsi="Times New Roman"/>
        </w:rPr>
        <w:t xml:space="preserve">tõstmisega </w:t>
      </w:r>
      <w:r w:rsidR="00B72359" w:rsidRPr="00A245DA">
        <w:rPr>
          <w:rFonts w:ascii="Times New Roman" w:hAnsi="Times New Roman"/>
        </w:rPr>
        <w:t xml:space="preserve">seotud tegevuste puhul on alustingimuseks asutustevaheline koostöö, sh võib </w:t>
      </w:r>
      <w:r w:rsidR="00F66C68" w:rsidRPr="00A245DA">
        <w:rPr>
          <w:rFonts w:ascii="Times New Roman" w:hAnsi="Times New Roman"/>
        </w:rPr>
        <w:t xml:space="preserve">üheks osapooleks </w:t>
      </w:r>
      <w:r w:rsidR="00B72359" w:rsidRPr="00A245DA">
        <w:rPr>
          <w:rFonts w:ascii="Times New Roman" w:hAnsi="Times New Roman"/>
        </w:rPr>
        <w:t xml:space="preserve">olla </w:t>
      </w:r>
      <w:r w:rsidR="00F66C68" w:rsidRPr="00A245DA">
        <w:rPr>
          <w:rFonts w:ascii="Times New Roman" w:hAnsi="Times New Roman"/>
        </w:rPr>
        <w:t>erasektori</w:t>
      </w:r>
      <w:r w:rsidR="00533A7E" w:rsidRPr="00A245DA">
        <w:rPr>
          <w:rFonts w:ascii="Times New Roman" w:hAnsi="Times New Roman"/>
        </w:rPr>
        <w:t xml:space="preserve"> partner</w:t>
      </w:r>
      <w:r w:rsidR="00F66C68" w:rsidRPr="00A245DA">
        <w:rPr>
          <w:rFonts w:ascii="Times New Roman" w:hAnsi="Times New Roman"/>
        </w:rPr>
        <w:t xml:space="preserve">. </w:t>
      </w:r>
      <w:r w:rsidR="00B72359" w:rsidRPr="00A245DA">
        <w:rPr>
          <w:rFonts w:ascii="Times New Roman" w:hAnsi="Times New Roman"/>
        </w:rPr>
        <w:t xml:space="preserve">Doktoriõppe efektiivsuse ja kvaliteedi suurendamise kaudu tagatakse teadlaste ja inseneride järelkasv, mis on vajalik teadmusmahuka majanduse ja ettevõtlussektori toimimiseks; </w:t>
      </w:r>
    </w:p>
    <w:p w14:paraId="2F0CA6EC" w14:textId="1EF8FB25" w:rsidR="00883442" w:rsidRPr="00A245DA" w:rsidRDefault="00883442" w:rsidP="00F66C68">
      <w:pPr>
        <w:tabs>
          <w:tab w:val="left" w:pos="0"/>
        </w:tabs>
        <w:spacing w:after="0"/>
        <w:rPr>
          <w:rFonts w:ascii="Times New Roman" w:hAnsi="Times New Roman"/>
        </w:rPr>
      </w:pPr>
      <w:r w:rsidRPr="00A245DA">
        <w:rPr>
          <w:rFonts w:ascii="Times New Roman" w:hAnsi="Times New Roman"/>
        </w:rPr>
        <w:t>5) õppe- ning teadus- ja arendustegevuse jaoks vajaliku infrastruktuuri soetamine ja kaasajastamine</w:t>
      </w:r>
      <w:r w:rsidR="00F66C68" w:rsidRPr="00A245DA">
        <w:rPr>
          <w:rFonts w:ascii="Times New Roman" w:hAnsi="Times New Roman"/>
        </w:rPr>
        <w:t xml:space="preserve"> </w:t>
      </w:r>
      <w:r w:rsidR="00F66C68" w:rsidRPr="00A245DA">
        <w:rPr>
          <w:rFonts w:ascii="Times New Roman" w:hAnsi="Times New Roman"/>
          <w:bCs/>
          <w:lang w:eastAsia="et-EE"/>
        </w:rPr>
        <w:t xml:space="preserve">loob teadus- ja arendusasutustes ja kõrgkoolides ettevõtluskoostöö arendamiseks vajaliku </w:t>
      </w:r>
      <w:r w:rsidR="00533A7E" w:rsidRPr="00A245DA">
        <w:rPr>
          <w:rFonts w:ascii="Times New Roman" w:hAnsi="Times New Roman"/>
          <w:bCs/>
          <w:lang w:eastAsia="et-EE"/>
        </w:rPr>
        <w:t>„</w:t>
      </w:r>
      <w:r w:rsidR="00F66C68" w:rsidRPr="00A245DA">
        <w:rPr>
          <w:rFonts w:ascii="Times New Roman" w:hAnsi="Times New Roman"/>
          <w:bCs/>
          <w:lang w:eastAsia="et-EE"/>
        </w:rPr>
        <w:t>tehnilise</w:t>
      </w:r>
      <w:r w:rsidR="00533A7E" w:rsidRPr="00A245DA">
        <w:rPr>
          <w:rFonts w:ascii="Times New Roman" w:hAnsi="Times New Roman"/>
          <w:bCs/>
          <w:lang w:eastAsia="et-EE"/>
        </w:rPr>
        <w:t>“</w:t>
      </w:r>
      <w:r w:rsidR="00F66C68" w:rsidRPr="00A245DA">
        <w:rPr>
          <w:rFonts w:ascii="Times New Roman" w:hAnsi="Times New Roman"/>
          <w:bCs/>
          <w:lang w:eastAsia="et-EE"/>
        </w:rPr>
        <w:t xml:space="preserve"> baasi ja keskkonna, </w:t>
      </w:r>
      <w:r w:rsidR="00533A7E" w:rsidRPr="00A245DA">
        <w:rPr>
          <w:rFonts w:ascii="Times New Roman" w:hAnsi="Times New Roman"/>
          <w:bCs/>
          <w:lang w:eastAsia="et-EE"/>
        </w:rPr>
        <w:t>mis võimaldab juba toimivat ettevõtluskoostööd tugevdada, avada uusi koostööperspektiive, arendada</w:t>
      </w:r>
      <w:r w:rsidR="0099697B" w:rsidRPr="00A245DA">
        <w:rPr>
          <w:rFonts w:ascii="Times New Roman" w:hAnsi="Times New Roman"/>
          <w:bCs/>
          <w:lang w:eastAsia="et-EE"/>
        </w:rPr>
        <w:t xml:space="preserve"> uusi ja</w:t>
      </w:r>
      <w:r w:rsidR="00533A7E" w:rsidRPr="00A245DA">
        <w:rPr>
          <w:rFonts w:ascii="Times New Roman" w:hAnsi="Times New Roman"/>
          <w:bCs/>
          <w:lang w:eastAsia="et-EE"/>
        </w:rPr>
        <w:t xml:space="preserve"> </w:t>
      </w:r>
      <w:r w:rsidR="00D17676" w:rsidRPr="00A245DA">
        <w:rPr>
          <w:rFonts w:ascii="Times New Roman" w:hAnsi="Times New Roman"/>
          <w:bCs/>
          <w:lang w:eastAsia="et-EE"/>
        </w:rPr>
        <w:t xml:space="preserve">innovatiivseid </w:t>
      </w:r>
      <w:r w:rsidR="00533A7E" w:rsidRPr="00A245DA">
        <w:rPr>
          <w:rFonts w:ascii="Times New Roman" w:hAnsi="Times New Roman"/>
          <w:bCs/>
          <w:lang w:eastAsia="et-EE"/>
        </w:rPr>
        <w:t>teenuseid, mis ilma tehnilise baasita polnud seni võimalik, või l</w:t>
      </w:r>
      <w:r w:rsidR="00D17676" w:rsidRPr="00A245DA">
        <w:rPr>
          <w:rFonts w:ascii="Times New Roman" w:hAnsi="Times New Roman"/>
          <w:bCs/>
          <w:lang w:eastAsia="et-EE"/>
        </w:rPr>
        <w:t>oob</w:t>
      </w:r>
      <w:r w:rsidR="00533A7E" w:rsidRPr="00A245DA">
        <w:rPr>
          <w:rFonts w:ascii="Times New Roman" w:hAnsi="Times New Roman"/>
          <w:bCs/>
          <w:lang w:eastAsia="et-EE"/>
        </w:rPr>
        <w:t xml:space="preserve"> eeldused ettevõtluskoostöö algatamiseks</w:t>
      </w:r>
      <w:r w:rsidR="00F66C68" w:rsidRPr="00A245DA">
        <w:rPr>
          <w:rFonts w:ascii="Times New Roman" w:hAnsi="Times New Roman"/>
          <w:bCs/>
          <w:lang w:eastAsia="et-EE"/>
        </w:rPr>
        <w:t xml:space="preserve">. Mh tähendab see </w:t>
      </w:r>
      <w:r w:rsidR="00533A7E" w:rsidRPr="00A245DA">
        <w:rPr>
          <w:rFonts w:ascii="Times New Roman" w:hAnsi="Times New Roman"/>
          <w:bCs/>
          <w:lang w:eastAsia="et-EE"/>
        </w:rPr>
        <w:t xml:space="preserve">kvaliteetse </w:t>
      </w:r>
      <w:r w:rsidR="00F66C68" w:rsidRPr="00A245DA">
        <w:rPr>
          <w:rFonts w:ascii="Times New Roman" w:hAnsi="Times New Roman"/>
          <w:bCs/>
          <w:lang w:eastAsia="et-EE"/>
        </w:rPr>
        <w:t>tehnilise baasi tagamist ettevõtetele teenuste pakkumiseks, nt rakendusuuringute tegemiseks ja taristu avamiseks ühiskasutuseks</w:t>
      </w:r>
      <w:r w:rsidRPr="00A245DA">
        <w:rPr>
          <w:rFonts w:ascii="Times New Roman" w:hAnsi="Times New Roman"/>
        </w:rPr>
        <w:t xml:space="preserve">; </w:t>
      </w:r>
    </w:p>
    <w:p w14:paraId="2F5FAE77" w14:textId="77777777" w:rsidR="00C06410" w:rsidRPr="00A245DA" w:rsidRDefault="00C06410" w:rsidP="00F66C68">
      <w:pPr>
        <w:spacing w:before="0" w:after="0"/>
        <w:rPr>
          <w:rFonts w:ascii="Times New Roman" w:hAnsi="Times New Roman"/>
        </w:rPr>
      </w:pPr>
    </w:p>
    <w:p w14:paraId="78E2A330" w14:textId="6E1B134F" w:rsidR="00F66C68" w:rsidRPr="00A245DA" w:rsidRDefault="00883442" w:rsidP="00F66C68">
      <w:pPr>
        <w:spacing w:before="0" w:after="0"/>
        <w:rPr>
          <w:rFonts w:ascii="Times New Roman" w:hAnsi="Times New Roman"/>
        </w:rPr>
      </w:pPr>
      <w:r w:rsidRPr="00A245DA">
        <w:rPr>
          <w:rFonts w:ascii="Times New Roman" w:hAnsi="Times New Roman"/>
        </w:rPr>
        <w:t>6) rahvusvahelise konkurentsivõime tõstmisele suunatud tegevus</w:t>
      </w:r>
      <w:r w:rsidR="00B72359" w:rsidRPr="00A245DA">
        <w:rPr>
          <w:rFonts w:ascii="Times New Roman" w:hAnsi="Times New Roman"/>
        </w:rPr>
        <w:t>tel on otsene seos teadm</w:t>
      </w:r>
      <w:r w:rsidR="00533A7E" w:rsidRPr="00A245DA">
        <w:rPr>
          <w:rFonts w:ascii="Times New Roman" w:hAnsi="Times New Roman"/>
        </w:rPr>
        <w:t>us</w:t>
      </w:r>
      <w:r w:rsidR="00B72359" w:rsidRPr="00A245DA">
        <w:rPr>
          <w:rFonts w:ascii="Times New Roman" w:hAnsi="Times New Roman"/>
        </w:rPr>
        <w:t>mahuka ettevõtluse jaoks kvaliteetse sisendi pakkumisega</w:t>
      </w:r>
      <w:r w:rsidR="00C06410" w:rsidRPr="00A245DA">
        <w:rPr>
          <w:rFonts w:ascii="Times New Roman" w:hAnsi="Times New Roman"/>
        </w:rPr>
        <w:t xml:space="preserve"> ning laiemate </w:t>
      </w:r>
      <w:r w:rsidR="00903654" w:rsidRPr="00A245DA">
        <w:rPr>
          <w:rFonts w:ascii="Times New Roman" w:hAnsi="Times New Roman"/>
        </w:rPr>
        <w:t xml:space="preserve">rahvusvahelises koostöös </w:t>
      </w:r>
      <w:r w:rsidR="00C06410" w:rsidRPr="00A245DA">
        <w:rPr>
          <w:rFonts w:ascii="Times New Roman" w:hAnsi="Times New Roman"/>
        </w:rPr>
        <w:t>osalemis</w:t>
      </w:r>
      <w:r w:rsidR="00903654" w:rsidRPr="00A245DA">
        <w:rPr>
          <w:rFonts w:ascii="Times New Roman" w:hAnsi="Times New Roman"/>
        </w:rPr>
        <w:t xml:space="preserve">e </w:t>
      </w:r>
      <w:r w:rsidR="00C06410" w:rsidRPr="00A245DA">
        <w:rPr>
          <w:rFonts w:ascii="Times New Roman" w:hAnsi="Times New Roman"/>
        </w:rPr>
        <w:t>võimaluste avamisega ettevõt</w:t>
      </w:r>
      <w:r w:rsidR="00903654" w:rsidRPr="00A245DA">
        <w:rPr>
          <w:rFonts w:ascii="Times New Roman" w:hAnsi="Times New Roman"/>
        </w:rPr>
        <w:t>etele</w:t>
      </w:r>
      <w:r w:rsidR="00B72359" w:rsidRPr="00A245DA">
        <w:rPr>
          <w:rFonts w:ascii="Times New Roman" w:hAnsi="Times New Roman"/>
        </w:rPr>
        <w:t xml:space="preserve">. </w:t>
      </w:r>
      <w:r w:rsidR="00903654" w:rsidRPr="00A245DA">
        <w:rPr>
          <w:rFonts w:ascii="Times New Roman" w:hAnsi="Times New Roman"/>
        </w:rPr>
        <w:t xml:space="preserve">Mh saab selle kaudu </w:t>
      </w:r>
      <w:r w:rsidR="00C06410" w:rsidRPr="00A245DA">
        <w:rPr>
          <w:rFonts w:ascii="Times New Roman" w:hAnsi="Times New Roman"/>
        </w:rPr>
        <w:t>v</w:t>
      </w:r>
      <w:r w:rsidR="00B72359" w:rsidRPr="00A245DA">
        <w:rPr>
          <w:rFonts w:ascii="Times New Roman" w:hAnsi="Times New Roman"/>
        </w:rPr>
        <w:t>õimal</w:t>
      </w:r>
      <w:r w:rsidR="00903654" w:rsidRPr="00A245DA">
        <w:rPr>
          <w:rFonts w:ascii="Times New Roman" w:hAnsi="Times New Roman"/>
        </w:rPr>
        <w:t xml:space="preserve">ikuks </w:t>
      </w:r>
      <w:r w:rsidR="00B72359" w:rsidRPr="00A245DA">
        <w:rPr>
          <w:rFonts w:ascii="Times New Roman" w:hAnsi="Times New Roman"/>
        </w:rPr>
        <w:t xml:space="preserve">ettevõtete parem juurdepääs rahvusvahelistele koostöövõrgustikele, teadustaristutele </w:t>
      </w:r>
      <w:r w:rsidR="00C06410" w:rsidRPr="00A245DA">
        <w:rPr>
          <w:rFonts w:ascii="Times New Roman" w:hAnsi="Times New Roman"/>
        </w:rPr>
        <w:t xml:space="preserve"> ja </w:t>
      </w:r>
      <w:r w:rsidR="00903654" w:rsidRPr="00A245DA">
        <w:rPr>
          <w:rFonts w:ascii="Times New Roman" w:hAnsi="Times New Roman"/>
        </w:rPr>
        <w:t>-</w:t>
      </w:r>
      <w:r w:rsidR="00B72359" w:rsidRPr="00A245DA">
        <w:rPr>
          <w:rFonts w:ascii="Times New Roman" w:hAnsi="Times New Roman"/>
        </w:rPr>
        <w:t>projektidele</w:t>
      </w:r>
      <w:r w:rsidR="00F66C68" w:rsidRPr="00A245DA">
        <w:rPr>
          <w:rFonts w:ascii="Times New Roman" w:hAnsi="Times New Roman"/>
          <w:lang w:eastAsia="et-EE"/>
        </w:rPr>
        <w:t xml:space="preserve">. </w:t>
      </w:r>
      <w:r w:rsidR="00903654" w:rsidRPr="00A245DA">
        <w:rPr>
          <w:rFonts w:ascii="Times New Roman" w:hAnsi="Times New Roman"/>
          <w:lang w:eastAsia="et-EE"/>
        </w:rPr>
        <w:t>Ettevõtete juurdepääs sellistele ressurssidele võib väljenduda ka konkreetsete</w:t>
      </w:r>
      <w:r w:rsidR="00903654" w:rsidRPr="00A245DA">
        <w:rPr>
          <w:rFonts w:ascii="Times New Roman" w:hAnsi="Times New Roman"/>
        </w:rPr>
        <w:t xml:space="preserve"> tellimustööde saamisena teadustaristute kaudu.</w:t>
      </w:r>
    </w:p>
    <w:p w14:paraId="37E916D0" w14:textId="77777777" w:rsidR="007A3EEB" w:rsidRPr="00A245DA" w:rsidRDefault="007A3EEB" w:rsidP="00CF08FA">
      <w:pPr>
        <w:pStyle w:val="PlainText"/>
        <w:jc w:val="both"/>
        <w:rPr>
          <w:rFonts w:ascii="Times New Roman" w:hAnsi="Times New Roman" w:cs="Times New Roman"/>
          <w:szCs w:val="22"/>
          <w:u w:val="single"/>
        </w:rPr>
      </w:pPr>
    </w:p>
    <w:p w14:paraId="2EA2DAC8" w14:textId="214DED87" w:rsidR="00C45FDB" w:rsidRPr="00A245DA" w:rsidRDefault="00B90062" w:rsidP="00C45FDB">
      <w:pPr>
        <w:pStyle w:val="PlainText"/>
        <w:jc w:val="both"/>
        <w:rPr>
          <w:rFonts w:ascii="Times New Roman" w:hAnsi="Times New Roman" w:cs="Times New Roman"/>
          <w:szCs w:val="22"/>
        </w:rPr>
      </w:pPr>
      <w:r w:rsidRPr="00A245DA">
        <w:rPr>
          <w:rFonts w:ascii="Times New Roman" w:hAnsi="Times New Roman" w:cs="Times New Roman"/>
          <w:szCs w:val="22"/>
        </w:rPr>
        <w:t>E</w:t>
      </w:r>
      <w:r w:rsidR="00C45FDB" w:rsidRPr="00A245DA">
        <w:rPr>
          <w:rFonts w:ascii="Times New Roman" w:hAnsi="Times New Roman" w:cs="Times New Roman"/>
          <w:szCs w:val="22"/>
        </w:rPr>
        <w:t xml:space="preserve">ttepanekute </w:t>
      </w:r>
      <w:r w:rsidR="00C45FDB" w:rsidRPr="00A245DA">
        <w:rPr>
          <w:rFonts w:ascii="Times New Roman" w:hAnsi="Times New Roman" w:cs="Times New Roman"/>
          <w:szCs w:val="22"/>
          <w:u w:val="single"/>
        </w:rPr>
        <w:t>hindamisel ja projektide valikul</w:t>
      </w:r>
      <w:r w:rsidR="00C45FDB" w:rsidRPr="00A245DA">
        <w:rPr>
          <w:rFonts w:ascii="Times New Roman" w:hAnsi="Times New Roman" w:cs="Times New Roman"/>
          <w:szCs w:val="22"/>
        </w:rPr>
        <w:t xml:space="preserve"> arvestatakse ühe hindamiskriteeriumina panust ettevõt</w:t>
      </w:r>
      <w:r w:rsidR="0078448E" w:rsidRPr="00A245DA">
        <w:rPr>
          <w:rFonts w:ascii="Times New Roman" w:hAnsi="Times New Roman" w:cs="Times New Roman"/>
          <w:szCs w:val="22"/>
        </w:rPr>
        <w:t xml:space="preserve">etega tehtava </w:t>
      </w:r>
      <w:r w:rsidR="00C45FDB" w:rsidRPr="00A245DA">
        <w:rPr>
          <w:rFonts w:ascii="Times New Roman" w:hAnsi="Times New Roman" w:cs="Times New Roman"/>
          <w:szCs w:val="22"/>
        </w:rPr>
        <w:t>koostöö arendamisse ja nutika spetsialiseerumise arenguvajaduste katmisse (vt § 14), mis tähendab, et otseselt ettevõt</w:t>
      </w:r>
      <w:r w:rsidR="0078448E" w:rsidRPr="00A245DA">
        <w:rPr>
          <w:rFonts w:ascii="Times New Roman" w:hAnsi="Times New Roman" w:cs="Times New Roman"/>
          <w:szCs w:val="22"/>
        </w:rPr>
        <w:t>etega tehtavasse k</w:t>
      </w:r>
      <w:r w:rsidR="00C45FDB" w:rsidRPr="00A245DA">
        <w:rPr>
          <w:rFonts w:ascii="Times New Roman" w:hAnsi="Times New Roman" w:cs="Times New Roman"/>
          <w:szCs w:val="22"/>
        </w:rPr>
        <w:t xml:space="preserve">oostöösse panustavad projektid saavad kõrgemalt hinnatud.  Samuti tagab </w:t>
      </w:r>
      <w:r w:rsidR="00C45FDB" w:rsidRPr="00A245DA">
        <w:rPr>
          <w:rFonts w:ascii="Times New Roman" w:hAnsi="Times New Roman" w:cs="Times New Roman"/>
          <w:szCs w:val="22"/>
          <w:u w:val="single"/>
        </w:rPr>
        <w:t>läbirääkimiste etapp</w:t>
      </w:r>
      <w:r w:rsidR="00C45FDB" w:rsidRPr="00A245DA">
        <w:rPr>
          <w:rFonts w:ascii="Times New Roman" w:hAnsi="Times New Roman" w:cs="Times New Roman"/>
          <w:szCs w:val="22"/>
        </w:rPr>
        <w:t xml:space="preserve"> (vt § 14 lg 9) selle, et asutusi suunatakse ettevõt</w:t>
      </w:r>
      <w:r w:rsidR="0078448E" w:rsidRPr="00A245DA">
        <w:rPr>
          <w:rFonts w:ascii="Times New Roman" w:hAnsi="Times New Roman" w:cs="Times New Roman"/>
          <w:szCs w:val="22"/>
        </w:rPr>
        <w:t xml:space="preserve">lussektoriga </w:t>
      </w:r>
      <w:r w:rsidR="00C45FDB" w:rsidRPr="00A245DA">
        <w:rPr>
          <w:rFonts w:ascii="Times New Roman" w:hAnsi="Times New Roman" w:cs="Times New Roman"/>
          <w:szCs w:val="22"/>
        </w:rPr>
        <w:t xml:space="preserve">koostööd tegema. Hindamis- ja läbirääkimiste protsessi tulemusena kindlustatakse meetme tegevuse väljundindikaatori täitmine.  </w:t>
      </w:r>
    </w:p>
    <w:p w14:paraId="38B001CC" w14:textId="77777777" w:rsidR="00C45FDB" w:rsidRPr="00A245DA" w:rsidRDefault="00C45FDB" w:rsidP="00C45FDB">
      <w:pPr>
        <w:pStyle w:val="PlainText"/>
        <w:jc w:val="both"/>
        <w:rPr>
          <w:rFonts w:ascii="Times New Roman" w:eastAsia="Times New Roman" w:hAnsi="Times New Roman" w:cs="Times New Roman"/>
          <w:szCs w:val="22"/>
          <w:u w:val="single"/>
        </w:rPr>
      </w:pPr>
    </w:p>
    <w:p w14:paraId="6658E0BC" w14:textId="77777777" w:rsidR="00B00C1B" w:rsidRPr="00A245DA" w:rsidRDefault="00B00C1B" w:rsidP="00CF08FA">
      <w:pPr>
        <w:pStyle w:val="PlainText"/>
        <w:jc w:val="both"/>
        <w:rPr>
          <w:rFonts w:ascii="Times New Roman" w:hAnsi="Times New Roman" w:cs="Times New Roman"/>
          <w:szCs w:val="22"/>
        </w:rPr>
      </w:pPr>
      <w:r w:rsidRPr="00A245DA">
        <w:rPr>
          <w:rFonts w:ascii="Times New Roman" w:hAnsi="Times New Roman" w:cs="Times New Roman"/>
          <w:szCs w:val="22"/>
          <w:u w:val="single"/>
        </w:rPr>
        <w:t>§-s 4</w:t>
      </w:r>
      <w:r w:rsidRPr="00A245DA">
        <w:rPr>
          <w:rFonts w:ascii="Times New Roman" w:hAnsi="Times New Roman" w:cs="Times New Roman"/>
          <w:szCs w:val="22"/>
        </w:rPr>
        <w:t xml:space="preserve"> nimetatakse arendusprogrammi rakendusüksus ja rakendusasutus. Rakendusasutuseks on Haridus- ja Teadusministeerium ning rakendusüksuse ülesandeid täidab SA Archimedes. </w:t>
      </w:r>
    </w:p>
    <w:p w14:paraId="6658E0BE" w14:textId="494D5CAC" w:rsidR="00B00C1B" w:rsidRPr="00A245DA" w:rsidRDefault="00B00C1B" w:rsidP="00B00C1B">
      <w:pPr>
        <w:pStyle w:val="VahedetaTimes12"/>
        <w:jc w:val="both"/>
        <w:rPr>
          <w:sz w:val="22"/>
          <w:szCs w:val="22"/>
        </w:rPr>
      </w:pPr>
      <w:r w:rsidRPr="00A245DA">
        <w:rPr>
          <w:sz w:val="22"/>
          <w:szCs w:val="22"/>
          <w:u w:val="single"/>
        </w:rPr>
        <w:lastRenderedPageBreak/>
        <w:t>§ 5</w:t>
      </w:r>
      <w:r w:rsidRPr="00A245DA">
        <w:rPr>
          <w:sz w:val="22"/>
          <w:szCs w:val="22"/>
        </w:rPr>
        <w:t xml:space="preserve"> </w:t>
      </w:r>
      <w:r w:rsidRPr="00A245DA">
        <w:rPr>
          <w:bCs/>
          <w:sz w:val="22"/>
          <w:szCs w:val="22"/>
        </w:rPr>
        <w:t xml:space="preserve">sätestab vaiete menetlemise korra. </w:t>
      </w:r>
      <w:r w:rsidRPr="00A245DA">
        <w:rPr>
          <w:sz w:val="22"/>
          <w:szCs w:val="22"/>
        </w:rPr>
        <w:t xml:space="preserve">Rakendusüksuse </w:t>
      </w:r>
      <w:r w:rsidR="00E74097" w:rsidRPr="00A245DA">
        <w:rPr>
          <w:sz w:val="22"/>
          <w:szCs w:val="22"/>
        </w:rPr>
        <w:t xml:space="preserve">või rakendusasutuse </w:t>
      </w:r>
      <w:r w:rsidRPr="00A245DA">
        <w:rPr>
          <w:sz w:val="22"/>
          <w:szCs w:val="22"/>
        </w:rPr>
        <w:t xml:space="preserve">toimingu või otsuse peale võib </w:t>
      </w:r>
      <w:r w:rsidR="00E74097" w:rsidRPr="00A245DA">
        <w:rPr>
          <w:sz w:val="22"/>
          <w:szCs w:val="22"/>
        </w:rPr>
        <w:t xml:space="preserve">vaide esitada </w:t>
      </w:r>
      <w:r w:rsidRPr="00A245DA">
        <w:rPr>
          <w:sz w:val="22"/>
          <w:szCs w:val="22"/>
        </w:rPr>
        <w:t>vastavalt perioodi 2014–2020 struktuuritoetuse seaduse §-le 51.</w:t>
      </w:r>
    </w:p>
    <w:p w14:paraId="4B350793" w14:textId="77777777" w:rsidR="00DA0653" w:rsidRPr="00A245DA" w:rsidRDefault="00DA0653" w:rsidP="008C332E">
      <w:pPr>
        <w:pStyle w:val="NoSpacing"/>
        <w:rPr>
          <w:rFonts w:ascii="Times New Roman" w:hAnsi="Times New Roman" w:cs="Times New Roman"/>
          <w:b/>
          <w:bCs/>
          <w:u w:val="single"/>
        </w:rPr>
      </w:pPr>
    </w:p>
    <w:p w14:paraId="6658E0C0" w14:textId="5F8EDFD7" w:rsidR="008C332E" w:rsidRPr="00A245DA" w:rsidRDefault="008C332E" w:rsidP="008C332E">
      <w:pPr>
        <w:pStyle w:val="NoSpacing"/>
        <w:rPr>
          <w:rFonts w:ascii="Times New Roman" w:hAnsi="Times New Roman" w:cs="Times New Roman"/>
          <w:bCs/>
        </w:rPr>
      </w:pPr>
      <w:r w:rsidRPr="00A245DA">
        <w:rPr>
          <w:rFonts w:ascii="Times New Roman" w:hAnsi="Times New Roman" w:cs="Times New Roman"/>
          <w:b/>
          <w:bCs/>
          <w:u w:val="single"/>
        </w:rPr>
        <w:t>2. peatükk Toetatavad tegevused, kulude abikõlb</w:t>
      </w:r>
      <w:r w:rsidR="001B5389" w:rsidRPr="00A245DA">
        <w:rPr>
          <w:rFonts w:ascii="Times New Roman" w:hAnsi="Times New Roman" w:cs="Times New Roman"/>
          <w:b/>
          <w:bCs/>
          <w:u w:val="single"/>
        </w:rPr>
        <w:t>l</w:t>
      </w:r>
      <w:r w:rsidRPr="00A245DA">
        <w:rPr>
          <w:rFonts w:ascii="Times New Roman" w:hAnsi="Times New Roman" w:cs="Times New Roman"/>
          <w:b/>
          <w:bCs/>
          <w:u w:val="single"/>
        </w:rPr>
        <w:t>ikkus ja toetuse määr</w:t>
      </w:r>
    </w:p>
    <w:p w14:paraId="6658E0C1" w14:textId="77777777" w:rsidR="008C332E" w:rsidRPr="00A245DA" w:rsidRDefault="008C332E" w:rsidP="008C332E">
      <w:pPr>
        <w:pStyle w:val="VahedetaTimes12"/>
        <w:jc w:val="both"/>
        <w:rPr>
          <w:sz w:val="22"/>
          <w:szCs w:val="22"/>
        </w:rPr>
      </w:pPr>
      <w:r w:rsidRPr="00A245DA">
        <w:rPr>
          <w:sz w:val="22"/>
          <w:szCs w:val="22"/>
        </w:rPr>
        <w:t xml:space="preserve">Eelnõu 2. peatükis </w:t>
      </w:r>
      <w:r w:rsidR="00740FAE" w:rsidRPr="00A245DA">
        <w:rPr>
          <w:sz w:val="22"/>
          <w:szCs w:val="22"/>
        </w:rPr>
        <w:t>määratakse arendusprogrammist toetatavad tegevused, abikõlblikud kulud, abikõlblikkuse periood ja toetuse osakaal.</w:t>
      </w:r>
    </w:p>
    <w:p w14:paraId="6658E0C2" w14:textId="77777777" w:rsidR="00740FAE" w:rsidRPr="00A245DA" w:rsidRDefault="00740FAE" w:rsidP="008C332E">
      <w:pPr>
        <w:pStyle w:val="VahedetaTimes12"/>
        <w:jc w:val="both"/>
        <w:rPr>
          <w:sz w:val="22"/>
          <w:szCs w:val="22"/>
        </w:rPr>
      </w:pPr>
    </w:p>
    <w:p w14:paraId="6658E0C3" w14:textId="599B508C" w:rsidR="00740FAE" w:rsidRPr="00A245DA" w:rsidRDefault="00740FAE" w:rsidP="008C332E">
      <w:pPr>
        <w:pStyle w:val="VahedetaTimes12"/>
        <w:jc w:val="both"/>
        <w:rPr>
          <w:sz w:val="22"/>
          <w:szCs w:val="22"/>
        </w:rPr>
      </w:pPr>
      <w:r w:rsidRPr="00A245DA">
        <w:rPr>
          <w:sz w:val="22"/>
          <w:szCs w:val="22"/>
          <w:u w:val="single"/>
        </w:rPr>
        <w:t>§-s 6</w:t>
      </w:r>
      <w:r w:rsidRPr="00A245DA">
        <w:rPr>
          <w:sz w:val="22"/>
          <w:szCs w:val="22"/>
        </w:rPr>
        <w:t xml:space="preserve"> määratakse projektist toetatavad tegevused, </w:t>
      </w:r>
      <w:r w:rsidR="00A754A0" w:rsidRPr="00A245DA">
        <w:rPr>
          <w:sz w:val="22"/>
          <w:szCs w:val="22"/>
        </w:rPr>
        <w:t>mis</w:t>
      </w:r>
      <w:r w:rsidRPr="00A245DA">
        <w:rPr>
          <w:sz w:val="22"/>
          <w:szCs w:val="22"/>
        </w:rPr>
        <w:t xml:space="preserve"> on kooskõlas rakenduskavas kirjeldatud </w:t>
      </w:r>
      <w:r w:rsidR="00A754A0" w:rsidRPr="00A245DA">
        <w:rPr>
          <w:sz w:val="22"/>
          <w:szCs w:val="22"/>
        </w:rPr>
        <w:t>meetme „</w:t>
      </w:r>
      <w:r w:rsidR="00A754A0" w:rsidRPr="00A245DA">
        <w:rPr>
          <w:color w:val="000000"/>
          <w:sz w:val="22"/>
          <w:szCs w:val="22"/>
        </w:rPr>
        <w:t>Institutsionaalne pakettmeede TA asutustele ja kõrgkoolidele“ (</w:t>
      </w:r>
      <w:r w:rsidR="007A3EEB" w:rsidRPr="00A245DA">
        <w:rPr>
          <w:color w:val="000000"/>
          <w:sz w:val="22"/>
          <w:szCs w:val="22"/>
        </w:rPr>
        <w:t>2.4.3.1.)</w:t>
      </w:r>
      <w:r w:rsidR="00A754A0" w:rsidRPr="00A245DA">
        <w:rPr>
          <w:color w:val="000000"/>
          <w:sz w:val="22"/>
          <w:szCs w:val="22"/>
        </w:rPr>
        <w:t xml:space="preserve"> </w:t>
      </w:r>
      <w:r w:rsidR="00A754A0" w:rsidRPr="00A245DA">
        <w:rPr>
          <w:sz w:val="22"/>
          <w:szCs w:val="22"/>
        </w:rPr>
        <w:t xml:space="preserve"> all toodud</w:t>
      </w:r>
      <w:r w:rsidRPr="00A245DA">
        <w:rPr>
          <w:sz w:val="22"/>
          <w:szCs w:val="22"/>
        </w:rPr>
        <w:t xml:space="preserve"> </w:t>
      </w:r>
      <w:r w:rsidR="00C03773" w:rsidRPr="00A245DA">
        <w:rPr>
          <w:sz w:val="22"/>
          <w:szCs w:val="22"/>
        </w:rPr>
        <w:t xml:space="preserve">toetatavate </w:t>
      </w:r>
      <w:r w:rsidRPr="00A245DA">
        <w:rPr>
          <w:sz w:val="22"/>
          <w:szCs w:val="22"/>
        </w:rPr>
        <w:t>tegevustega.</w:t>
      </w:r>
      <w:r w:rsidR="00C03773" w:rsidRPr="00A245DA">
        <w:rPr>
          <w:sz w:val="22"/>
          <w:szCs w:val="22"/>
        </w:rPr>
        <w:t xml:space="preserve"> </w:t>
      </w:r>
    </w:p>
    <w:p w14:paraId="704D59BA" w14:textId="041D0BB9" w:rsidR="00DF623B" w:rsidRPr="00A245DA" w:rsidRDefault="007A3EEB" w:rsidP="007A3EEB">
      <w:pPr>
        <w:pStyle w:val="VahedetaTimes12"/>
        <w:tabs>
          <w:tab w:val="left" w:pos="7460"/>
        </w:tabs>
        <w:jc w:val="both"/>
        <w:rPr>
          <w:sz w:val="22"/>
          <w:szCs w:val="22"/>
        </w:rPr>
      </w:pPr>
      <w:r w:rsidRPr="00A245DA">
        <w:rPr>
          <w:sz w:val="22"/>
          <w:szCs w:val="22"/>
        </w:rPr>
        <w:tab/>
      </w:r>
    </w:p>
    <w:p w14:paraId="6658E0C4" w14:textId="1F7632D5" w:rsidR="005C738A" w:rsidRPr="00A245DA" w:rsidRDefault="00C03773" w:rsidP="005C738A">
      <w:pPr>
        <w:pStyle w:val="VahedetaTimes12"/>
        <w:jc w:val="both"/>
        <w:rPr>
          <w:sz w:val="22"/>
          <w:szCs w:val="22"/>
        </w:rPr>
      </w:pPr>
      <w:r w:rsidRPr="00A245DA">
        <w:rPr>
          <w:sz w:val="22"/>
          <w:szCs w:val="22"/>
          <w:u w:val="single"/>
        </w:rPr>
        <w:t>Lõikes 1</w:t>
      </w:r>
      <w:r w:rsidRPr="00A245DA">
        <w:rPr>
          <w:sz w:val="22"/>
          <w:szCs w:val="22"/>
        </w:rPr>
        <w:t xml:space="preserve"> öeldakse, et toetust taotlev</w:t>
      </w:r>
      <w:r w:rsidR="00FD00A1" w:rsidRPr="00A245DA">
        <w:rPr>
          <w:sz w:val="22"/>
          <w:szCs w:val="22"/>
        </w:rPr>
        <w:t>a</w:t>
      </w:r>
      <w:r w:rsidRPr="00A245DA">
        <w:rPr>
          <w:sz w:val="22"/>
          <w:szCs w:val="22"/>
        </w:rPr>
        <w:t xml:space="preserve"> projekt</w:t>
      </w:r>
      <w:r w:rsidR="00FD00A1" w:rsidRPr="00A245DA">
        <w:rPr>
          <w:sz w:val="22"/>
          <w:szCs w:val="22"/>
        </w:rPr>
        <w:t>i iga toetatav tegevus</w:t>
      </w:r>
      <w:r w:rsidRPr="00A245DA">
        <w:rPr>
          <w:sz w:val="22"/>
          <w:szCs w:val="22"/>
        </w:rPr>
        <w:t xml:space="preserve"> peab olema suunatud vähemalt ühe § 3 lõikes 2 nimetatud tulemuse saavutamisse. A</w:t>
      </w:r>
      <w:r w:rsidR="0078448E" w:rsidRPr="00A245DA">
        <w:rPr>
          <w:sz w:val="22"/>
          <w:szCs w:val="22"/>
        </w:rPr>
        <w:t>STRA raames</w:t>
      </w:r>
      <w:r w:rsidRPr="00A245DA">
        <w:rPr>
          <w:sz w:val="22"/>
          <w:szCs w:val="22"/>
        </w:rPr>
        <w:t xml:space="preserve"> toetatakse järgmisi tegevuste pakette</w:t>
      </w:r>
      <w:r w:rsidR="005C738A" w:rsidRPr="00A245DA">
        <w:rPr>
          <w:sz w:val="22"/>
          <w:szCs w:val="22"/>
        </w:rPr>
        <w:t>, mida on kokku 7</w:t>
      </w:r>
      <w:r w:rsidRPr="00A245DA">
        <w:rPr>
          <w:sz w:val="22"/>
          <w:szCs w:val="22"/>
        </w:rPr>
        <w:t>:</w:t>
      </w:r>
    </w:p>
    <w:p w14:paraId="6658E0C5" w14:textId="089A5F28" w:rsidR="00C03773" w:rsidRPr="00A245DA" w:rsidRDefault="00C03773" w:rsidP="00765B5D">
      <w:pPr>
        <w:spacing w:after="0"/>
        <w:rPr>
          <w:rFonts w:ascii="Times New Roman" w:hAnsi="Times New Roman"/>
          <w:bCs/>
        </w:rPr>
      </w:pPr>
      <w:r w:rsidRPr="00A245DA">
        <w:rPr>
          <w:rFonts w:ascii="Times New Roman" w:hAnsi="Times New Roman"/>
        </w:rPr>
        <w:t>1) teadus- ja õppehoonete</w:t>
      </w:r>
      <w:r w:rsidRPr="00A245DA">
        <w:rPr>
          <w:rFonts w:ascii="Times New Roman" w:hAnsi="Times New Roman"/>
          <w:bCs/>
        </w:rPr>
        <w:t xml:space="preserve"> </w:t>
      </w:r>
      <w:r w:rsidR="00E42F0F" w:rsidRPr="00A245DA">
        <w:rPr>
          <w:rFonts w:ascii="Times New Roman" w:hAnsi="Times New Roman"/>
          <w:bCs/>
        </w:rPr>
        <w:t xml:space="preserve">rajamine </w:t>
      </w:r>
      <w:r w:rsidR="00BA2A9B" w:rsidRPr="00A245DA">
        <w:rPr>
          <w:rFonts w:ascii="Times New Roman" w:hAnsi="Times New Roman"/>
          <w:bCs/>
        </w:rPr>
        <w:t>–</w:t>
      </w:r>
      <w:r w:rsidR="00DF623B" w:rsidRPr="00A245DA">
        <w:rPr>
          <w:rFonts w:ascii="Times New Roman" w:hAnsi="Times New Roman"/>
          <w:bCs/>
        </w:rPr>
        <w:t xml:space="preserve"> vastavalt</w:t>
      </w:r>
      <w:r w:rsidR="00BA2A9B" w:rsidRPr="00A245DA">
        <w:rPr>
          <w:rFonts w:ascii="Times New Roman" w:hAnsi="Times New Roman"/>
          <w:bCs/>
        </w:rPr>
        <w:t xml:space="preserve"> </w:t>
      </w:r>
      <w:r w:rsidR="00DF623B" w:rsidRPr="00A245DA">
        <w:rPr>
          <w:rFonts w:ascii="Times New Roman" w:hAnsi="Times New Roman"/>
          <w:bCs/>
        </w:rPr>
        <w:t>rakenduskavale toetatakse hoonete ehitamist „</w:t>
      </w:r>
      <w:r w:rsidR="00DF623B" w:rsidRPr="00A245DA">
        <w:rPr>
          <w:rFonts w:ascii="Times New Roman" w:hAnsi="Times New Roman"/>
          <w:color w:val="000000"/>
        </w:rPr>
        <w:t>väga üksikutel ja põhjendatud juhtudel (arvestades nutika spetsialiseerumise kasvuvaldkondade ning kõrghariduse vastutusvaldkondade</w:t>
      </w:r>
      <w:r w:rsidR="00DF623B" w:rsidRPr="00A245DA">
        <w:rPr>
          <w:rFonts w:ascii="Times New Roman" w:hAnsi="Times New Roman"/>
        </w:rPr>
        <w:t xml:space="preserve"> arenguvajadusi)“</w:t>
      </w:r>
      <w:r w:rsidR="00765B5D" w:rsidRPr="00A245DA">
        <w:rPr>
          <w:rFonts w:ascii="Times New Roman" w:hAnsi="Times New Roman"/>
        </w:rPr>
        <w:t>.</w:t>
      </w:r>
      <w:r w:rsidR="00DF623B" w:rsidRPr="00A245DA">
        <w:rPr>
          <w:rFonts w:ascii="Times New Roman" w:hAnsi="Times New Roman"/>
          <w:color w:val="000000"/>
        </w:rPr>
        <w:t xml:space="preserve"> </w:t>
      </w:r>
      <w:r w:rsidR="00DF623B" w:rsidRPr="00A245DA">
        <w:rPr>
          <w:rFonts w:ascii="Times New Roman" w:hAnsi="Times New Roman"/>
          <w:bCs/>
        </w:rPr>
        <w:t xml:space="preserve">§ 6 </w:t>
      </w:r>
      <w:r w:rsidR="00DF623B" w:rsidRPr="00A245DA">
        <w:rPr>
          <w:rFonts w:ascii="Times New Roman" w:hAnsi="Times New Roman"/>
          <w:bCs/>
          <w:u w:val="single"/>
        </w:rPr>
        <w:t>lõige 2</w:t>
      </w:r>
      <w:r w:rsidR="00DF623B" w:rsidRPr="00A245DA">
        <w:rPr>
          <w:rFonts w:ascii="Times New Roman" w:hAnsi="Times New Roman"/>
          <w:bCs/>
        </w:rPr>
        <w:t xml:space="preserve"> sätestab seejuures, et juhul kui ettepanek hõlmab </w:t>
      </w:r>
      <w:r w:rsidR="00BB50CC" w:rsidRPr="00A245DA">
        <w:rPr>
          <w:rFonts w:ascii="Times New Roman" w:hAnsi="Times New Roman"/>
          <w:bCs/>
        </w:rPr>
        <w:t xml:space="preserve">hoonete ehitamisega seonduvaid </w:t>
      </w:r>
      <w:r w:rsidR="00DF623B" w:rsidRPr="00A245DA">
        <w:rPr>
          <w:rFonts w:ascii="Times New Roman" w:hAnsi="Times New Roman"/>
          <w:bCs/>
        </w:rPr>
        <w:t>tegevus</w:t>
      </w:r>
      <w:r w:rsidR="00BB50CC" w:rsidRPr="00A245DA">
        <w:rPr>
          <w:rFonts w:ascii="Times New Roman" w:hAnsi="Times New Roman"/>
          <w:bCs/>
        </w:rPr>
        <w:t>i</w:t>
      </w:r>
      <w:r w:rsidR="00DF623B" w:rsidRPr="00A245DA">
        <w:rPr>
          <w:rFonts w:ascii="Times New Roman" w:hAnsi="Times New Roman"/>
          <w:bCs/>
        </w:rPr>
        <w:t xml:space="preserve">, peab see </w:t>
      </w:r>
      <w:r w:rsidR="00DF623B" w:rsidRPr="00A245DA">
        <w:rPr>
          <w:rFonts w:ascii="Times New Roman" w:hAnsi="Times New Roman"/>
        </w:rPr>
        <w:t xml:space="preserve">olema seostatud teiste </w:t>
      </w:r>
      <w:r w:rsidR="00903654" w:rsidRPr="00A245DA">
        <w:rPr>
          <w:rFonts w:ascii="Times New Roman" w:hAnsi="Times New Roman"/>
        </w:rPr>
        <w:t xml:space="preserve">projektis </w:t>
      </w:r>
      <w:r w:rsidR="00DF623B" w:rsidRPr="00A245DA">
        <w:rPr>
          <w:rFonts w:ascii="Times New Roman" w:hAnsi="Times New Roman"/>
        </w:rPr>
        <w:t>kavandatavate tegevustega</w:t>
      </w:r>
      <w:r w:rsidR="00903654" w:rsidRPr="00A245DA">
        <w:rPr>
          <w:rFonts w:ascii="Times New Roman" w:hAnsi="Times New Roman"/>
        </w:rPr>
        <w:t xml:space="preserve"> (sisutegevustega)</w:t>
      </w:r>
      <w:r w:rsidR="00DF623B" w:rsidRPr="00A245DA">
        <w:rPr>
          <w:rFonts w:ascii="Times New Roman" w:hAnsi="Times New Roman"/>
        </w:rPr>
        <w:t>, kuna vastavalt rakenduskavale lähtutakse i</w:t>
      </w:r>
      <w:r w:rsidR="00DF623B" w:rsidRPr="00A245DA">
        <w:rPr>
          <w:rFonts w:ascii="Times New Roman" w:hAnsi="Times New Roman"/>
          <w:color w:val="000000"/>
        </w:rPr>
        <w:t>nvesteeringute valikul „õppeasutuste vastutusvaldkondade kompleksse arendamise vajadusest“</w:t>
      </w:r>
      <w:r w:rsidR="00765B5D" w:rsidRPr="00A245DA">
        <w:rPr>
          <w:rFonts w:ascii="Times New Roman" w:hAnsi="Times New Roman"/>
          <w:color w:val="000000"/>
        </w:rPr>
        <w:t xml:space="preserve"> ning „k</w:t>
      </w:r>
      <w:r w:rsidR="00DF623B" w:rsidRPr="00A245DA">
        <w:rPr>
          <w:rFonts w:ascii="Times New Roman" w:hAnsi="Times New Roman"/>
        </w:rPr>
        <w:t>õiki i</w:t>
      </w:r>
      <w:r w:rsidR="00DF623B" w:rsidRPr="00A245DA">
        <w:rPr>
          <w:rFonts w:ascii="Times New Roman" w:hAnsi="Times New Roman"/>
          <w:color w:val="000000"/>
        </w:rPr>
        <w:t xml:space="preserve">nfrastruktuuri investeeringuid käsitletakse kooskõlalisena teadus- ja õppetegevuse kvaliteedi ja inimressursi </w:t>
      </w:r>
      <w:r w:rsidR="00DF623B" w:rsidRPr="00A245DA">
        <w:rPr>
          <w:rFonts w:ascii="Times New Roman" w:hAnsi="Times New Roman"/>
        </w:rPr>
        <w:t>arendamise tegevustega</w:t>
      </w:r>
      <w:r w:rsidR="00765B5D" w:rsidRPr="00A245DA">
        <w:rPr>
          <w:rFonts w:ascii="Times New Roman" w:hAnsi="Times New Roman"/>
        </w:rPr>
        <w:t>“.</w:t>
      </w:r>
      <w:r w:rsidR="00825776" w:rsidRPr="00A245DA">
        <w:rPr>
          <w:rFonts w:ascii="Times New Roman" w:hAnsi="Times New Roman"/>
        </w:rPr>
        <w:t xml:space="preserve"> Seega ainult hoonete ehitamiseks toetust taotleda ei saa</w:t>
      </w:r>
      <w:r w:rsidR="00BA2A9B" w:rsidRPr="00A245DA">
        <w:rPr>
          <w:rFonts w:ascii="Times New Roman" w:hAnsi="Times New Roman"/>
        </w:rPr>
        <w:t xml:space="preserve"> ja ainult hoonete </w:t>
      </w:r>
      <w:r w:rsidR="003F32D7" w:rsidRPr="00A245DA">
        <w:rPr>
          <w:rFonts w:ascii="Times New Roman" w:hAnsi="Times New Roman"/>
        </w:rPr>
        <w:t>rajamist</w:t>
      </w:r>
      <w:r w:rsidR="00BA2A9B" w:rsidRPr="00A245DA">
        <w:rPr>
          <w:rFonts w:ascii="Times New Roman" w:hAnsi="Times New Roman"/>
        </w:rPr>
        <w:t xml:space="preserve"> eraldiseisvana ei toetata</w:t>
      </w:r>
      <w:r w:rsidR="00825776" w:rsidRPr="00A245DA">
        <w:rPr>
          <w:rFonts w:ascii="Times New Roman" w:hAnsi="Times New Roman"/>
        </w:rPr>
        <w:t>.</w:t>
      </w:r>
    </w:p>
    <w:p w14:paraId="6658E0C6" w14:textId="61B7EF37" w:rsidR="00C03773" w:rsidRPr="00A245DA" w:rsidRDefault="00C03773" w:rsidP="00765B5D">
      <w:pPr>
        <w:tabs>
          <w:tab w:val="left" w:pos="0"/>
          <w:tab w:val="left" w:pos="5182"/>
        </w:tabs>
        <w:spacing w:before="0" w:after="0"/>
        <w:rPr>
          <w:rFonts w:ascii="Times New Roman" w:hAnsi="Times New Roman"/>
          <w:lang w:eastAsia="et-EE"/>
        </w:rPr>
      </w:pPr>
      <w:r w:rsidRPr="00A245DA">
        <w:rPr>
          <w:rFonts w:ascii="Times New Roman" w:hAnsi="Times New Roman"/>
        </w:rPr>
        <w:t>2) struktuursete ümberkorralduste läbiviimine</w:t>
      </w:r>
      <w:r w:rsidR="005C738A" w:rsidRPr="00A245DA">
        <w:rPr>
          <w:rFonts w:ascii="Times New Roman" w:hAnsi="Times New Roman"/>
        </w:rPr>
        <w:t xml:space="preserve"> – toetatakse asutustes struktuursete ümberkorralduste läbiviimist asutuse vastutusvaldkondade  tugevdamise eesmärgil, s</w:t>
      </w:r>
      <w:r w:rsidR="0099697B" w:rsidRPr="00A245DA">
        <w:rPr>
          <w:rFonts w:ascii="Times New Roman" w:hAnsi="Times New Roman"/>
        </w:rPr>
        <w:t>h</w:t>
      </w:r>
      <w:r w:rsidR="005C738A" w:rsidRPr="00A245DA">
        <w:rPr>
          <w:rFonts w:ascii="Times New Roman" w:hAnsi="Times New Roman"/>
        </w:rPr>
        <w:t xml:space="preserve"> asutuste või asutuse struktuuriüksuse ühinemist teise asutusega</w:t>
      </w:r>
      <w:r w:rsidR="004F6309" w:rsidRPr="00A245DA">
        <w:rPr>
          <w:rFonts w:ascii="Times New Roman" w:hAnsi="Times New Roman"/>
        </w:rPr>
        <w:t xml:space="preserve"> või asutusesiseseid struktuurseid ümberkorraldusi</w:t>
      </w:r>
      <w:r w:rsidR="005C738A" w:rsidRPr="00A245DA">
        <w:rPr>
          <w:rFonts w:ascii="Times New Roman" w:hAnsi="Times New Roman"/>
        </w:rPr>
        <w:t>. Tegevuse toetamise eesmärgiks on teadus- ja arendusasutuste ning kõrgkoolide võrgu tõhusam toimimine ja asutuste institutsionaalse võimekuse suurendamine</w:t>
      </w:r>
      <w:r w:rsidR="002349F7" w:rsidRPr="00A245DA">
        <w:rPr>
          <w:rFonts w:ascii="Times New Roman" w:hAnsi="Times New Roman"/>
        </w:rPr>
        <w:t>.</w:t>
      </w:r>
      <w:r w:rsidR="005C738A" w:rsidRPr="00A245DA">
        <w:rPr>
          <w:rFonts w:ascii="Times New Roman" w:hAnsi="Times New Roman"/>
        </w:rPr>
        <w:t xml:space="preserve"> </w:t>
      </w:r>
      <w:r w:rsidR="002349F7" w:rsidRPr="00A245DA">
        <w:rPr>
          <w:rFonts w:ascii="Times New Roman" w:hAnsi="Times New Roman"/>
        </w:rPr>
        <w:t>A</w:t>
      </w:r>
      <w:r w:rsidR="005C738A" w:rsidRPr="00A245DA">
        <w:rPr>
          <w:rFonts w:ascii="Times New Roman" w:hAnsi="Times New Roman"/>
        </w:rPr>
        <w:t>sutusesiseste struktuur</w:t>
      </w:r>
      <w:r w:rsidR="002349F7" w:rsidRPr="00A245DA">
        <w:rPr>
          <w:rFonts w:ascii="Times New Roman" w:hAnsi="Times New Roman"/>
        </w:rPr>
        <w:t xml:space="preserve">sete ümberkorralduste toetamise eesmärgiks on </w:t>
      </w:r>
      <w:r w:rsidR="005C738A" w:rsidRPr="00A245DA">
        <w:rPr>
          <w:rFonts w:ascii="Times New Roman" w:hAnsi="Times New Roman"/>
        </w:rPr>
        <w:t>muudatuste läbiviimine eelkõige õppe- ja teadustöö dubleerimise vähendamiseks ja ressursside koondamiseks</w:t>
      </w:r>
      <w:r w:rsidR="004F6309" w:rsidRPr="00A245DA">
        <w:rPr>
          <w:rFonts w:ascii="Times New Roman" w:hAnsi="Times New Roman"/>
        </w:rPr>
        <w:t>;</w:t>
      </w:r>
      <w:r w:rsidR="005C738A" w:rsidRPr="00A245DA">
        <w:rPr>
          <w:rFonts w:ascii="Times New Roman" w:hAnsi="Times New Roman"/>
        </w:rPr>
        <w:t xml:space="preserve"> </w:t>
      </w:r>
      <w:r w:rsidRPr="00A245DA">
        <w:rPr>
          <w:rFonts w:ascii="Times New Roman" w:hAnsi="Times New Roman"/>
        </w:rPr>
        <w:tab/>
      </w:r>
    </w:p>
    <w:p w14:paraId="6658E0C7" w14:textId="1343836C" w:rsidR="00FC3B61" w:rsidRPr="00A245DA" w:rsidRDefault="00C03773" w:rsidP="00FC3B61">
      <w:pPr>
        <w:tabs>
          <w:tab w:val="left" w:pos="0"/>
        </w:tabs>
        <w:spacing w:before="0" w:after="0"/>
        <w:rPr>
          <w:rFonts w:ascii="Times New Roman" w:hAnsi="Times New Roman"/>
        </w:rPr>
      </w:pPr>
      <w:r w:rsidRPr="00A245DA">
        <w:rPr>
          <w:rFonts w:ascii="Times New Roman" w:hAnsi="Times New Roman"/>
        </w:rPr>
        <w:t xml:space="preserve">3) õppe- ja teadustöö kvaliteedi </w:t>
      </w:r>
      <w:r w:rsidR="00E24727" w:rsidRPr="00A245DA">
        <w:rPr>
          <w:rFonts w:ascii="Times New Roman" w:hAnsi="Times New Roman"/>
        </w:rPr>
        <w:t xml:space="preserve">ja efektiivsuse </w:t>
      </w:r>
      <w:r w:rsidRPr="00A245DA">
        <w:rPr>
          <w:rFonts w:ascii="Times New Roman" w:hAnsi="Times New Roman"/>
        </w:rPr>
        <w:t>tõstmisele suunatud tegevused</w:t>
      </w:r>
      <w:r w:rsidR="002A788C" w:rsidRPr="00A245DA">
        <w:rPr>
          <w:rFonts w:ascii="Times New Roman" w:hAnsi="Times New Roman"/>
        </w:rPr>
        <w:t xml:space="preserve"> – toetatakse asutuste vastutusvaldkondades ja nutika spetsialiseerumise kasvuvaldkondades õppe- ja teadustöö kvaliteedi</w:t>
      </w:r>
      <w:r w:rsidR="00E24727" w:rsidRPr="00A245DA">
        <w:rPr>
          <w:rFonts w:ascii="Times New Roman" w:hAnsi="Times New Roman"/>
        </w:rPr>
        <w:t xml:space="preserve"> ja efektiivsuse</w:t>
      </w:r>
      <w:r w:rsidR="002A788C" w:rsidRPr="00A245DA">
        <w:rPr>
          <w:rFonts w:ascii="Times New Roman" w:hAnsi="Times New Roman"/>
        </w:rPr>
        <w:t xml:space="preserve"> tõstmisele suunatud tegevusi, sealhulgas ühisõppekavade </w:t>
      </w:r>
      <w:r w:rsidR="003E23A1" w:rsidRPr="00A245DA">
        <w:rPr>
          <w:rFonts w:ascii="Times New Roman" w:hAnsi="Times New Roman"/>
        </w:rPr>
        <w:t xml:space="preserve"> </w:t>
      </w:r>
      <w:r w:rsidR="002A788C" w:rsidRPr="00A245DA">
        <w:rPr>
          <w:rFonts w:ascii="Times New Roman" w:hAnsi="Times New Roman"/>
        </w:rPr>
        <w:t>või interdistsiplinaarsete õppekavade või -moodulite loomist või arendamist</w:t>
      </w:r>
      <w:r w:rsidR="004F6309" w:rsidRPr="00A245DA">
        <w:rPr>
          <w:rFonts w:ascii="Times New Roman" w:hAnsi="Times New Roman"/>
        </w:rPr>
        <w:t>, mis võimaldaks vastata</w:t>
      </w:r>
      <w:r w:rsidR="002A788C" w:rsidRPr="00A245DA">
        <w:rPr>
          <w:rFonts w:ascii="Times New Roman" w:hAnsi="Times New Roman"/>
        </w:rPr>
        <w:t xml:space="preserve"> paremini tööturu vajadustele, õpikeskkondade ja kursuste arendamist e-õppe vormis õppe läbiviimiseks, erialapõhiste sisseastumiskatsete või –eksamite väljatöötamist</w:t>
      </w:r>
      <w:r w:rsidR="00A07F1C" w:rsidRPr="00A245DA">
        <w:rPr>
          <w:rFonts w:ascii="Times New Roman" w:hAnsi="Times New Roman"/>
        </w:rPr>
        <w:t>, uurimissuundade arendamist</w:t>
      </w:r>
      <w:r w:rsidR="002A788C" w:rsidRPr="00A245DA">
        <w:rPr>
          <w:rFonts w:ascii="Times New Roman" w:hAnsi="Times New Roman"/>
        </w:rPr>
        <w:t>. Toetus ei ole mõeldud tavapärase õppekavaarenduse läbiviimiseks, mida rahastatakse riigi tegevustoetusest</w:t>
      </w:r>
      <w:r w:rsidR="00367381" w:rsidRPr="00A245DA">
        <w:rPr>
          <w:rFonts w:ascii="Times New Roman" w:hAnsi="Times New Roman"/>
        </w:rPr>
        <w:t>, ega täiendusõppe arendamiseks</w:t>
      </w:r>
      <w:r w:rsidR="002A788C" w:rsidRPr="00A245DA">
        <w:rPr>
          <w:rFonts w:ascii="Times New Roman" w:hAnsi="Times New Roman"/>
        </w:rPr>
        <w:t>.</w:t>
      </w:r>
      <w:r w:rsidR="007C47DD" w:rsidRPr="00A245DA">
        <w:rPr>
          <w:rFonts w:ascii="Times New Roman" w:hAnsi="Times New Roman"/>
        </w:rPr>
        <w:t xml:space="preserve"> </w:t>
      </w:r>
      <w:r w:rsidR="004F6309" w:rsidRPr="00A245DA">
        <w:rPr>
          <w:rFonts w:ascii="Times New Roman" w:hAnsi="Times New Roman"/>
        </w:rPr>
        <w:t>ASTRA raames</w:t>
      </w:r>
      <w:r w:rsidR="007C47DD" w:rsidRPr="00A245DA">
        <w:rPr>
          <w:rFonts w:ascii="Times New Roman" w:hAnsi="Times New Roman"/>
        </w:rPr>
        <w:t xml:space="preserve"> ei toetata üldjuhul õppejõudude didaktikaalaseid koolitusi, mille toetamine on planeeritud </w:t>
      </w:r>
      <w:r w:rsidR="004F6309" w:rsidRPr="00A245DA">
        <w:rPr>
          <w:rFonts w:ascii="Times New Roman" w:hAnsi="Times New Roman"/>
        </w:rPr>
        <w:t>meetmest „Õ</w:t>
      </w:r>
      <w:r w:rsidR="007C47DD" w:rsidRPr="00A245DA">
        <w:rPr>
          <w:rFonts w:ascii="Times New Roman" w:hAnsi="Times New Roman"/>
        </w:rPr>
        <w:t>petajate, koolijuhtide ja noorsootöötajate professionaalse arengu toetami</w:t>
      </w:r>
      <w:r w:rsidR="004F6309" w:rsidRPr="00A245DA">
        <w:rPr>
          <w:rFonts w:ascii="Times New Roman" w:hAnsi="Times New Roman"/>
        </w:rPr>
        <w:t>ne“</w:t>
      </w:r>
      <w:r w:rsidR="006C64B8" w:rsidRPr="00A245DA">
        <w:rPr>
          <w:rFonts w:ascii="Times New Roman" w:hAnsi="Times New Roman"/>
        </w:rPr>
        <w:t>,</w:t>
      </w:r>
      <w:r w:rsidR="007C47DD" w:rsidRPr="00A245DA">
        <w:rPr>
          <w:rFonts w:ascii="Times New Roman" w:hAnsi="Times New Roman"/>
        </w:rPr>
        <w:t xml:space="preserve"> ega praktikakorraldusega seotud tegevusi, mille toetamine on planeeritud </w:t>
      </w:r>
      <w:r w:rsidR="00FA6AB6" w:rsidRPr="00A245DA">
        <w:rPr>
          <w:rFonts w:ascii="Times New Roman" w:hAnsi="Times New Roman"/>
        </w:rPr>
        <w:t xml:space="preserve">meetmest „Õppe seostamine tööturu vajadustega“. </w:t>
      </w:r>
    </w:p>
    <w:p w14:paraId="6658E0C8" w14:textId="6A0A4C4F" w:rsidR="00C03773" w:rsidRPr="00A245DA" w:rsidRDefault="00C03773" w:rsidP="00C03773">
      <w:pPr>
        <w:tabs>
          <w:tab w:val="left" w:pos="0"/>
        </w:tabs>
        <w:spacing w:before="0" w:after="0"/>
        <w:rPr>
          <w:rFonts w:ascii="Times New Roman" w:hAnsi="Times New Roman"/>
          <w:lang w:eastAsia="et-EE"/>
        </w:rPr>
      </w:pPr>
      <w:r w:rsidRPr="00A245DA">
        <w:rPr>
          <w:rFonts w:ascii="Times New Roman" w:hAnsi="Times New Roman"/>
          <w:lang w:eastAsia="et-EE"/>
        </w:rPr>
        <w:t xml:space="preserve">4) </w:t>
      </w:r>
      <w:r w:rsidRPr="00A245DA">
        <w:rPr>
          <w:rFonts w:ascii="Times New Roman" w:hAnsi="Times New Roman"/>
        </w:rPr>
        <w:t xml:space="preserve">doktoriõppe </w:t>
      </w:r>
      <w:r w:rsidR="00E24727" w:rsidRPr="00A245DA">
        <w:rPr>
          <w:rFonts w:ascii="Times New Roman" w:hAnsi="Times New Roman"/>
        </w:rPr>
        <w:t xml:space="preserve">kvaliteedi ja </w:t>
      </w:r>
      <w:r w:rsidRPr="00A245DA">
        <w:rPr>
          <w:rFonts w:ascii="Times New Roman" w:hAnsi="Times New Roman"/>
        </w:rPr>
        <w:t xml:space="preserve">efektiivsuse suurendamisega seotud </w:t>
      </w:r>
      <w:r w:rsidR="00051556" w:rsidRPr="00A245DA">
        <w:rPr>
          <w:rFonts w:ascii="Times New Roman" w:hAnsi="Times New Roman"/>
        </w:rPr>
        <w:t xml:space="preserve">tegevused </w:t>
      </w:r>
      <w:r w:rsidR="00FC3B61" w:rsidRPr="00A245DA">
        <w:rPr>
          <w:rFonts w:ascii="Times New Roman" w:hAnsi="Times New Roman"/>
        </w:rPr>
        <w:t>–</w:t>
      </w:r>
      <w:r w:rsidR="00051556" w:rsidRPr="00A245DA">
        <w:rPr>
          <w:rFonts w:ascii="Times New Roman" w:hAnsi="Times New Roman"/>
        </w:rPr>
        <w:t xml:space="preserve"> </w:t>
      </w:r>
      <w:r w:rsidR="00FC3B61" w:rsidRPr="00A245DA">
        <w:rPr>
          <w:rFonts w:ascii="Times New Roman" w:hAnsi="Times New Roman"/>
        </w:rPr>
        <w:t>muuhul</w:t>
      </w:r>
      <w:r w:rsidR="004F6309" w:rsidRPr="00A245DA">
        <w:rPr>
          <w:rFonts w:ascii="Times New Roman" w:hAnsi="Times New Roman"/>
        </w:rPr>
        <w:t>g</w:t>
      </w:r>
      <w:r w:rsidR="00FC3B61" w:rsidRPr="00A245DA">
        <w:rPr>
          <w:rFonts w:ascii="Times New Roman" w:hAnsi="Times New Roman"/>
        </w:rPr>
        <w:t>as toetatakse doktorikoolide tegevusi</w:t>
      </w:r>
      <w:r w:rsidR="004F6309" w:rsidRPr="00A245DA">
        <w:rPr>
          <w:rFonts w:ascii="Times New Roman" w:hAnsi="Times New Roman"/>
        </w:rPr>
        <w:t>, mida rahastat</w:t>
      </w:r>
      <w:r w:rsidR="00C66739" w:rsidRPr="00A245DA">
        <w:rPr>
          <w:rFonts w:ascii="Times New Roman" w:hAnsi="Times New Roman"/>
        </w:rPr>
        <w:t>i</w:t>
      </w:r>
      <w:r w:rsidR="004F6309" w:rsidRPr="00A245DA">
        <w:rPr>
          <w:rFonts w:ascii="Times New Roman" w:hAnsi="Times New Roman"/>
        </w:rPr>
        <w:t xml:space="preserve"> ka struktuuritoetuste perioodi 2007-2013 meetme </w:t>
      </w:r>
      <w:r w:rsidR="004F6309" w:rsidRPr="00A245DA">
        <w:rPr>
          <w:rFonts w:ascii="Times New Roman" w:hAnsi="Times New Roman"/>
          <w:bCs/>
          <w:color w:val="000000"/>
          <w:lang w:eastAsia="et-EE"/>
        </w:rPr>
        <w:t>„</w:t>
      </w:r>
      <w:r w:rsidR="004F6309" w:rsidRPr="00A245DA">
        <w:rPr>
          <w:rFonts w:ascii="Times New Roman" w:hAnsi="Times New Roman"/>
        </w:rPr>
        <w:t>Kõrgkoolide koostöö ja innovatsiooni arendamine“ alameetmest</w:t>
      </w:r>
      <w:r w:rsidR="00FC3B61" w:rsidRPr="00A245DA">
        <w:rPr>
          <w:rFonts w:ascii="Times New Roman" w:hAnsi="Times New Roman"/>
        </w:rPr>
        <w:t>.</w:t>
      </w:r>
      <w:r w:rsidR="004F6309" w:rsidRPr="00A245DA">
        <w:rPr>
          <w:rFonts w:ascii="Times New Roman" w:hAnsi="Times New Roman"/>
        </w:rPr>
        <w:t xml:space="preserve"> </w:t>
      </w:r>
      <w:r w:rsidR="00E50F20" w:rsidRPr="00A245DA">
        <w:rPr>
          <w:rFonts w:ascii="Times New Roman" w:hAnsi="Times New Roman"/>
        </w:rPr>
        <w:t xml:space="preserve">Toetatakse näiteks doktorantidele ja nende juhendajatele suunatud tegevusi, doktoriõppe rahvusvahelistumist, erialade ja sektorite vahelise koostöö tugevdamist, erialade vahelise Eesti teaduskeele ja terminoloogia arendamist, doktorantide interdistsiplinaarsete uurimisprojektidega seotud tegevusi </w:t>
      </w:r>
      <w:r w:rsidR="009265FC" w:rsidRPr="00A245DA">
        <w:rPr>
          <w:rFonts w:ascii="Times New Roman" w:hAnsi="Times New Roman"/>
        </w:rPr>
        <w:t>ning</w:t>
      </w:r>
      <w:r w:rsidR="00E50F20" w:rsidRPr="00A245DA">
        <w:rPr>
          <w:rFonts w:ascii="Times New Roman" w:hAnsi="Times New Roman"/>
        </w:rPr>
        <w:t xml:space="preserve"> doktorikoolide </w:t>
      </w:r>
      <w:r w:rsidR="009265FC" w:rsidRPr="00A245DA">
        <w:rPr>
          <w:rFonts w:ascii="Times New Roman" w:hAnsi="Times New Roman"/>
        </w:rPr>
        <w:t xml:space="preserve">ja valdkondade </w:t>
      </w:r>
      <w:r w:rsidR="00E50F20" w:rsidRPr="00A245DA">
        <w:rPr>
          <w:rFonts w:ascii="Times New Roman" w:hAnsi="Times New Roman"/>
        </w:rPr>
        <w:t xml:space="preserve">üleste tegevuste koordineerimist ja koostööd. </w:t>
      </w:r>
      <w:r w:rsidR="009265FC" w:rsidRPr="00A245DA">
        <w:rPr>
          <w:rFonts w:ascii="Times New Roman" w:hAnsi="Times New Roman"/>
        </w:rPr>
        <w:t xml:space="preserve">Soodustamaks edukate magistrantide jätkamist doktoriõppes, võidakse doktoriõppe efektiivsuse tõstmise tegevustesse kaasata ka magistrante, </w:t>
      </w:r>
      <w:r w:rsidR="00A07F1C" w:rsidRPr="00A245DA">
        <w:rPr>
          <w:rFonts w:ascii="Times New Roman" w:hAnsi="Times New Roman"/>
        </w:rPr>
        <w:t xml:space="preserve">kuid magistrantide </w:t>
      </w:r>
      <w:r w:rsidR="009265FC" w:rsidRPr="00A245DA">
        <w:rPr>
          <w:rFonts w:ascii="Times New Roman" w:hAnsi="Times New Roman"/>
        </w:rPr>
        <w:t>rahvusvahelis</w:t>
      </w:r>
      <w:r w:rsidR="00A07F1C" w:rsidRPr="00A245DA">
        <w:rPr>
          <w:rFonts w:ascii="Times New Roman" w:hAnsi="Times New Roman"/>
        </w:rPr>
        <w:t>t mobiilsust ei toetata</w:t>
      </w:r>
      <w:r w:rsidR="009265FC" w:rsidRPr="00A245DA">
        <w:rPr>
          <w:rFonts w:ascii="Times New Roman" w:hAnsi="Times New Roman"/>
        </w:rPr>
        <w:t xml:space="preserve">. </w:t>
      </w:r>
      <w:r w:rsidR="005C66A1" w:rsidRPr="00A245DA">
        <w:rPr>
          <w:rFonts w:ascii="Times New Roman" w:hAnsi="Times New Roman"/>
        </w:rPr>
        <w:t xml:space="preserve">§ 6 </w:t>
      </w:r>
      <w:r w:rsidR="005C66A1" w:rsidRPr="00A245DA">
        <w:rPr>
          <w:rFonts w:ascii="Times New Roman" w:hAnsi="Times New Roman"/>
          <w:u w:val="single"/>
        </w:rPr>
        <w:t xml:space="preserve">lõikes </w:t>
      </w:r>
      <w:r w:rsidR="0053116B" w:rsidRPr="00A245DA">
        <w:rPr>
          <w:rFonts w:ascii="Times New Roman" w:hAnsi="Times New Roman"/>
          <w:u w:val="single"/>
        </w:rPr>
        <w:t>4</w:t>
      </w:r>
      <w:r w:rsidR="005C66A1" w:rsidRPr="00A245DA">
        <w:rPr>
          <w:rFonts w:ascii="Times New Roman" w:hAnsi="Times New Roman"/>
        </w:rPr>
        <w:t xml:space="preserve"> sätestatakse, et vaatamata sellele, kas tegevusi viiakse ellu doktorikoolide kaudu või muul viisil, on alustingimuseks asutustevahelise koostöö tagamine  ning innovaatilise dokt</w:t>
      </w:r>
      <w:r w:rsidR="00C66739" w:rsidRPr="00A245DA">
        <w:rPr>
          <w:rFonts w:ascii="Times New Roman" w:hAnsi="Times New Roman"/>
        </w:rPr>
        <w:t>o</w:t>
      </w:r>
      <w:r w:rsidR="005C66A1" w:rsidRPr="00A245DA">
        <w:rPr>
          <w:rFonts w:ascii="Times New Roman" w:hAnsi="Times New Roman"/>
        </w:rPr>
        <w:t xml:space="preserve">riõppe printsiipide järgimine. </w:t>
      </w:r>
      <w:r w:rsidR="00457A2F" w:rsidRPr="00A245DA">
        <w:rPr>
          <w:rFonts w:ascii="Times New Roman" w:hAnsi="Times New Roman"/>
          <w:bCs/>
          <w:lang w:eastAsia="et-EE"/>
        </w:rPr>
        <w:t xml:space="preserve">Innovaatilise doktoriõppe printsiibid tulenevad </w:t>
      </w:r>
      <w:r w:rsidR="00457A2F" w:rsidRPr="00A245DA">
        <w:rPr>
          <w:rFonts w:ascii="Times New Roman" w:hAnsi="Times New Roman"/>
          <w:bCs/>
          <w:lang w:eastAsia="et-EE"/>
        </w:rPr>
        <w:lastRenderedPageBreak/>
        <w:t>Euroopa Komisjoni poolt antud juhistest</w:t>
      </w:r>
      <w:r w:rsidR="00457A2F" w:rsidRPr="00A245DA">
        <w:rPr>
          <w:rStyle w:val="FootnoteReference"/>
          <w:rFonts w:ascii="Times New Roman" w:hAnsi="Times New Roman"/>
          <w:bCs/>
          <w:lang w:eastAsia="et-EE"/>
        </w:rPr>
        <w:footnoteReference w:id="3"/>
      </w:r>
      <w:r w:rsidR="00457A2F" w:rsidRPr="00A245DA">
        <w:rPr>
          <w:rFonts w:ascii="Times New Roman" w:hAnsi="Times New Roman"/>
          <w:bCs/>
          <w:lang w:eastAsia="et-EE"/>
        </w:rPr>
        <w:t xml:space="preserve"> ning neile on viidatud ka rakenduskavas. </w:t>
      </w:r>
      <w:r w:rsidR="009265FC" w:rsidRPr="00A245DA">
        <w:rPr>
          <w:rFonts w:ascii="Times New Roman" w:hAnsi="Times New Roman"/>
        </w:rPr>
        <w:t xml:space="preserve">Neist printsiipidest vajavad senisest enam tähelepanu interdistsiplinaarne teaduskoostöö, koostöö mitteakadeemilise sektoriga, rahvusvaheline koostöö ja ülekantavate oskuste arendamine. </w:t>
      </w:r>
      <w:r w:rsidR="001C2A95" w:rsidRPr="00A245DA">
        <w:rPr>
          <w:rFonts w:ascii="Times New Roman" w:hAnsi="Times New Roman"/>
        </w:rPr>
        <w:t xml:space="preserve"> </w:t>
      </w:r>
      <w:r w:rsidR="00C2763D" w:rsidRPr="00A245DA">
        <w:rPr>
          <w:rFonts w:ascii="Times New Roman" w:hAnsi="Times New Roman"/>
        </w:rPr>
        <w:t>Doktorikoolide tegevuste toetuse planeerimisel peavad taotlejad jälgima</w:t>
      </w:r>
      <w:r w:rsidR="003C135F" w:rsidRPr="00A245DA">
        <w:rPr>
          <w:rFonts w:ascii="Times New Roman" w:hAnsi="Times New Roman"/>
        </w:rPr>
        <w:t xml:space="preserve"> doktorikoolide valdkondlikku </w:t>
      </w:r>
      <w:r w:rsidR="00C2763D" w:rsidRPr="00A245DA">
        <w:rPr>
          <w:rFonts w:ascii="Times New Roman" w:hAnsi="Times New Roman"/>
        </w:rPr>
        <w:t>mitmekesisust</w:t>
      </w:r>
      <w:r w:rsidR="00FD00A1" w:rsidRPr="00A245DA">
        <w:rPr>
          <w:rFonts w:ascii="Times New Roman" w:hAnsi="Times New Roman"/>
        </w:rPr>
        <w:t xml:space="preserve">, kuid samas </w:t>
      </w:r>
      <w:r w:rsidR="001165EA" w:rsidRPr="00A245DA">
        <w:rPr>
          <w:rFonts w:ascii="Times New Roman" w:hAnsi="Times New Roman"/>
        </w:rPr>
        <w:t>vältima</w:t>
      </w:r>
      <w:r w:rsidR="00FD00A1" w:rsidRPr="00A245DA">
        <w:rPr>
          <w:rFonts w:ascii="Times New Roman" w:hAnsi="Times New Roman"/>
        </w:rPr>
        <w:t xml:space="preserve"> asjatut dubleerimist</w:t>
      </w:r>
      <w:r w:rsidR="003C135F" w:rsidRPr="00A245DA">
        <w:rPr>
          <w:rFonts w:ascii="Times New Roman" w:hAnsi="Times New Roman"/>
        </w:rPr>
        <w:t xml:space="preserve">, tagades </w:t>
      </w:r>
      <w:r w:rsidR="009265FC" w:rsidRPr="00A245DA">
        <w:rPr>
          <w:rFonts w:ascii="Times New Roman" w:hAnsi="Times New Roman"/>
        </w:rPr>
        <w:t xml:space="preserve">võrdsed </w:t>
      </w:r>
      <w:r w:rsidR="003C135F" w:rsidRPr="00A245DA">
        <w:rPr>
          <w:rFonts w:ascii="Times New Roman" w:hAnsi="Times New Roman"/>
        </w:rPr>
        <w:t xml:space="preserve">võimalused </w:t>
      </w:r>
      <w:r w:rsidR="00FD00A1" w:rsidRPr="00A245DA">
        <w:rPr>
          <w:rFonts w:ascii="Times New Roman" w:hAnsi="Times New Roman"/>
        </w:rPr>
        <w:t xml:space="preserve">doktorikoolis osalemiseks </w:t>
      </w:r>
      <w:r w:rsidR="003C135F" w:rsidRPr="00A245DA">
        <w:rPr>
          <w:rFonts w:ascii="Times New Roman" w:hAnsi="Times New Roman"/>
        </w:rPr>
        <w:t xml:space="preserve">kõigile õpingutes edasijõudvatele doktorantidele. </w:t>
      </w:r>
      <w:r w:rsidR="001C2A95" w:rsidRPr="00A245DA">
        <w:rPr>
          <w:rFonts w:ascii="Times New Roman" w:hAnsi="Times New Roman"/>
        </w:rPr>
        <w:t xml:space="preserve">Koostöötingimuse täitmise tagamiseks tuleb taotlejal esitada kaasatud </w:t>
      </w:r>
      <w:r w:rsidR="00CF2A62" w:rsidRPr="00A245DA">
        <w:rPr>
          <w:rFonts w:ascii="Times New Roman" w:hAnsi="Times New Roman"/>
        </w:rPr>
        <w:t>koostöö</w:t>
      </w:r>
      <w:r w:rsidR="001C2A95" w:rsidRPr="00A245DA">
        <w:rPr>
          <w:rFonts w:ascii="Times New Roman" w:hAnsi="Times New Roman"/>
        </w:rPr>
        <w:t>partneri(te) kinnituskiri.</w:t>
      </w:r>
    </w:p>
    <w:p w14:paraId="6658E0C9" w14:textId="0F2530FE" w:rsidR="00FC3B61" w:rsidRPr="00A245DA" w:rsidRDefault="00C03773" w:rsidP="00FC3B61">
      <w:pPr>
        <w:spacing w:before="0" w:after="0"/>
        <w:rPr>
          <w:rFonts w:ascii="Times New Roman" w:hAnsi="Times New Roman"/>
          <w:bCs/>
          <w:color w:val="000000"/>
          <w:lang w:eastAsia="et-EE"/>
        </w:rPr>
      </w:pPr>
      <w:r w:rsidRPr="00A245DA">
        <w:rPr>
          <w:rFonts w:ascii="Times New Roman" w:hAnsi="Times New Roman"/>
        </w:rPr>
        <w:t xml:space="preserve">5) õppe- </w:t>
      </w:r>
      <w:r w:rsidR="008D1634" w:rsidRPr="00A245DA">
        <w:rPr>
          <w:rFonts w:ascii="Times New Roman" w:hAnsi="Times New Roman"/>
        </w:rPr>
        <w:t>ja</w:t>
      </w:r>
      <w:r w:rsidRPr="00A245DA">
        <w:rPr>
          <w:rFonts w:ascii="Times New Roman" w:hAnsi="Times New Roman"/>
        </w:rPr>
        <w:t xml:space="preserve"> teadus</w:t>
      </w:r>
      <w:r w:rsidR="008D1634" w:rsidRPr="00A245DA">
        <w:rPr>
          <w:rFonts w:ascii="Times New Roman" w:hAnsi="Times New Roman"/>
        </w:rPr>
        <w:t>töö</w:t>
      </w:r>
      <w:r w:rsidRPr="00A245DA">
        <w:rPr>
          <w:rFonts w:ascii="Times New Roman" w:hAnsi="Times New Roman"/>
        </w:rPr>
        <w:t xml:space="preserve"> infrastruktuu</w:t>
      </w:r>
      <w:r w:rsidR="00DC07F8" w:rsidRPr="00A245DA">
        <w:rPr>
          <w:rFonts w:ascii="Times New Roman" w:hAnsi="Times New Roman"/>
        </w:rPr>
        <w:t>ri soetamine ja kaasajastamine –</w:t>
      </w:r>
      <w:r w:rsidR="00765B5D" w:rsidRPr="00A245DA">
        <w:rPr>
          <w:rFonts w:ascii="Times New Roman" w:hAnsi="Times New Roman"/>
        </w:rPr>
        <w:t xml:space="preserve"> kvaliteetse õppe- ja teadustegevuse eelduseks on kaasaegse tehnilise baasi</w:t>
      </w:r>
      <w:r w:rsidR="005F43A2" w:rsidRPr="00A245DA">
        <w:rPr>
          <w:rFonts w:ascii="Times New Roman" w:hAnsi="Times New Roman"/>
        </w:rPr>
        <w:t xml:space="preserve"> </w:t>
      </w:r>
      <w:r w:rsidR="00765B5D" w:rsidRPr="00A245DA">
        <w:rPr>
          <w:rFonts w:ascii="Times New Roman" w:hAnsi="Times New Roman"/>
        </w:rPr>
        <w:t xml:space="preserve">olemasolu. Õppe- ja teadustööks vajaliku infrastruktuuri mõistet on käesoleva määruse tähenduses laiendatud (vt selgitust § 2 p 2 juures). </w:t>
      </w:r>
    </w:p>
    <w:p w14:paraId="6658E0CA" w14:textId="346F0B27" w:rsidR="00FF5FDD" w:rsidRPr="00A245DA" w:rsidRDefault="00C03773" w:rsidP="00FC3B61">
      <w:pPr>
        <w:spacing w:before="0" w:after="0"/>
        <w:rPr>
          <w:rFonts w:ascii="Times New Roman" w:hAnsi="Times New Roman"/>
          <w:bCs/>
          <w:color w:val="000000"/>
          <w:lang w:eastAsia="et-EE"/>
        </w:rPr>
      </w:pPr>
      <w:r w:rsidRPr="00A245DA">
        <w:rPr>
          <w:rFonts w:ascii="Times New Roman" w:hAnsi="Times New Roman"/>
        </w:rPr>
        <w:t>6) rahvusvahelise konkurentsivõime</w:t>
      </w:r>
      <w:r w:rsidR="00DC07F8" w:rsidRPr="00A245DA">
        <w:rPr>
          <w:rFonts w:ascii="Times New Roman" w:hAnsi="Times New Roman"/>
        </w:rPr>
        <w:t xml:space="preserve"> tõstmisele suunatud tegevused – muuhulgas toetatakse </w:t>
      </w:r>
      <w:r w:rsidR="00FC3B61" w:rsidRPr="00A245DA">
        <w:rPr>
          <w:rFonts w:ascii="Times New Roman" w:hAnsi="Times New Roman"/>
        </w:rPr>
        <w:t xml:space="preserve">ingliskeelsete õppekavade arendamist, </w:t>
      </w:r>
      <w:r w:rsidR="00DC07F8" w:rsidRPr="00A245DA">
        <w:rPr>
          <w:rFonts w:ascii="Times New Roman" w:hAnsi="Times New Roman"/>
        </w:rPr>
        <w:t>korraliste välisõppejõudude või külalisõppejõudude või välisteadlaste kaasamist</w:t>
      </w:r>
      <w:r w:rsidR="00E50F20" w:rsidRPr="00A245DA">
        <w:rPr>
          <w:rFonts w:ascii="Times New Roman" w:hAnsi="Times New Roman"/>
        </w:rPr>
        <w:t>.</w:t>
      </w:r>
      <w:r w:rsidR="009265FC" w:rsidRPr="00A245DA">
        <w:rPr>
          <w:rFonts w:ascii="Times New Roman" w:hAnsi="Times New Roman"/>
        </w:rPr>
        <w:t xml:space="preserve"> </w:t>
      </w:r>
      <w:r w:rsidR="005F43A2" w:rsidRPr="00A245DA">
        <w:rPr>
          <w:rFonts w:ascii="Times New Roman" w:hAnsi="Times New Roman"/>
        </w:rPr>
        <w:t>Eesmärgiks on</w:t>
      </w:r>
      <w:r w:rsidR="00415E93" w:rsidRPr="00A245DA">
        <w:rPr>
          <w:rFonts w:ascii="Times New Roman" w:hAnsi="Times New Roman"/>
        </w:rPr>
        <w:t xml:space="preserve"> toetada uute inimeste kaasamist välisõppejõudude</w:t>
      </w:r>
      <w:r w:rsidR="002075D3" w:rsidRPr="00A245DA">
        <w:rPr>
          <w:rFonts w:ascii="Times New Roman" w:hAnsi="Times New Roman"/>
        </w:rPr>
        <w:t xml:space="preserve"> ja –teadlastena</w:t>
      </w:r>
      <w:r w:rsidR="005F43A2" w:rsidRPr="00A245DA">
        <w:rPr>
          <w:rFonts w:ascii="Times New Roman" w:hAnsi="Times New Roman"/>
        </w:rPr>
        <w:t>.</w:t>
      </w:r>
      <w:r w:rsidR="002075D3" w:rsidRPr="00A245DA">
        <w:rPr>
          <w:rFonts w:ascii="Times New Roman" w:hAnsi="Times New Roman"/>
        </w:rPr>
        <w:t xml:space="preserve"> </w:t>
      </w:r>
      <w:r w:rsidR="003C0757" w:rsidRPr="00A245DA">
        <w:rPr>
          <w:rFonts w:ascii="Times New Roman" w:hAnsi="Times New Roman"/>
        </w:rPr>
        <w:t xml:space="preserve">Välisõppejõu kaasamise toetamist </w:t>
      </w:r>
      <w:r w:rsidR="00415E93" w:rsidRPr="00A245DA">
        <w:rPr>
          <w:rFonts w:ascii="Times New Roman" w:hAnsi="Times New Roman"/>
        </w:rPr>
        <w:t xml:space="preserve">assistendina (tehniliste ülesannete täitmine) </w:t>
      </w:r>
      <w:r w:rsidR="003C0757" w:rsidRPr="00A245DA">
        <w:rPr>
          <w:rFonts w:ascii="Times New Roman" w:hAnsi="Times New Roman"/>
        </w:rPr>
        <w:t>ei peeta arendusprogrammist otstarbekaks</w:t>
      </w:r>
      <w:r w:rsidR="00415E93" w:rsidRPr="00A245DA">
        <w:rPr>
          <w:rFonts w:ascii="Times New Roman" w:hAnsi="Times New Roman"/>
        </w:rPr>
        <w:t>.</w:t>
      </w:r>
      <w:r w:rsidR="00DA287E" w:rsidRPr="00A245DA">
        <w:rPr>
          <w:rFonts w:ascii="Times New Roman" w:hAnsi="Times New Roman"/>
        </w:rPr>
        <w:t xml:space="preserve"> </w:t>
      </w:r>
      <w:r w:rsidR="00996FD3" w:rsidRPr="00A245DA">
        <w:rPr>
          <w:rFonts w:ascii="Times New Roman" w:hAnsi="Times New Roman"/>
        </w:rPr>
        <w:t xml:space="preserve">Samuti toetatakse akadeemilise personali õpetamise ja teadustöö tegemise eesmärgil tehtavaid välislähetusi. </w:t>
      </w:r>
      <w:r w:rsidR="00DA287E" w:rsidRPr="00A245DA">
        <w:rPr>
          <w:rFonts w:ascii="Times New Roman" w:hAnsi="Times New Roman"/>
        </w:rPr>
        <w:t xml:space="preserve">Üldjuhul ei </w:t>
      </w:r>
      <w:r w:rsidR="003C0757" w:rsidRPr="00A245DA">
        <w:rPr>
          <w:rFonts w:ascii="Times New Roman" w:hAnsi="Times New Roman"/>
        </w:rPr>
        <w:t xml:space="preserve">toetata välisüliõpilaste mobiilsust ega Eesti üliõpilaste välismobiilsust, </w:t>
      </w:r>
      <w:r w:rsidR="00DA287E" w:rsidRPr="00A245DA">
        <w:rPr>
          <w:rFonts w:ascii="Times New Roman" w:hAnsi="Times New Roman"/>
        </w:rPr>
        <w:t>mille</w:t>
      </w:r>
      <w:r w:rsidR="003C0757" w:rsidRPr="00A245DA">
        <w:rPr>
          <w:rFonts w:ascii="Times New Roman" w:hAnsi="Times New Roman"/>
        </w:rPr>
        <w:t xml:space="preserve"> toetamine on planeeritud meetme „Eesti T&amp;A rahvusvahelise konkurentsivõime suurendamine ja osalemine üle-euroopalistes teadusalgatustes“ tegevuse „Teaduse ja kõrghariduse rahvusvahelistumine, mobiilsuse ja järelkasvu toetamine“ raames ning Euroopa programmist Erasmus+. </w:t>
      </w:r>
      <w:r w:rsidR="00E50F20" w:rsidRPr="00A245DA">
        <w:rPr>
          <w:rFonts w:ascii="Times New Roman" w:hAnsi="Times New Roman"/>
        </w:rPr>
        <w:t xml:space="preserve">ASTRA-st toetatakse </w:t>
      </w:r>
      <w:r w:rsidR="00FF5FDD" w:rsidRPr="00A245DA">
        <w:rPr>
          <w:rFonts w:ascii="Times New Roman" w:hAnsi="Times New Roman"/>
        </w:rPr>
        <w:t xml:space="preserve">üliõpilaste välismobiilsust käesoleva lõike punktis 4 nimetatud </w:t>
      </w:r>
      <w:r w:rsidR="00DC07F8" w:rsidRPr="00A245DA">
        <w:rPr>
          <w:rFonts w:ascii="Times New Roman" w:hAnsi="Times New Roman"/>
          <w:lang w:eastAsia="et-EE"/>
        </w:rPr>
        <w:t xml:space="preserve"> doktoriõppe efektiivsuse </w:t>
      </w:r>
      <w:r w:rsidR="00FF5FDD" w:rsidRPr="00A245DA">
        <w:rPr>
          <w:rFonts w:ascii="Times New Roman" w:hAnsi="Times New Roman"/>
          <w:lang w:eastAsia="et-EE"/>
        </w:rPr>
        <w:t xml:space="preserve">ja kvaliteedi suurendamise tegevuspaketis. </w:t>
      </w:r>
    </w:p>
    <w:p w14:paraId="5A00B32C" w14:textId="6EAF3C75" w:rsidR="00863332" w:rsidRPr="00A245DA" w:rsidRDefault="00C03773" w:rsidP="00FF5FDD">
      <w:pPr>
        <w:pStyle w:val="VahedetaTimes12"/>
        <w:jc w:val="both"/>
        <w:rPr>
          <w:sz w:val="22"/>
          <w:szCs w:val="22"/>
        </w:rPr>
      </w:pPr>
      <w:r w:rsidRPr="00A245DA">
        <w:rPr>
          <w:sz w:val="22"/>
          <w:szCs w:val="22"/>
        </w:rPr>
        <w:t>7) koostöö tugevdamine teadus- ja arendusasutuste, kõrgkoolide ja ettevõtete vahel</w:t>
      </w:r>
      <w:r w:rsidR="00FF5FDD" w:rsidRPr="00A245DA">
        <w:rPr>
          <w:sz w:val="22"/>
          <w:szCs w:val="22"/>
        </w:rPr>
        <w:t xml:space="preserve"> – m</w:t>
      </w:r>
      <w:r w:rsidR="009D0C0E" w:rsidRPr="00A245DA">
        <w:rPr>
          <w:sz w:val="22"/>
          <w:szCs w:val="22"/>
        </w:rPr>
        <w:t>h</w:t>
      </w:r>
      <w:r w:rsidR="00FF5FDD" w:rsidRPr="00A245DA">
        <w:rPr>
          <w:sz w:val="22"/>
          <w:szCs w:val="22"/>
        </w:rPr>
        <w:t xml:space="preserve"> toetatakse</w:t>
      </w:r>
      <w:r w:rsidR="00FF5FDD" w:rsidRPr="00A245DA">
        <w:rPr>
          <w:color w:val="0070C0"/>
          <w:sz w:val="22"/>
          <w:szCs w:val="22"/>
        </w:rPr>
        <w:t xml:space="preserve"> </w:t>
      </w:r>
      <w:r w:rsidR="00FF5FDD" w:rsidRPr="00A245DA">
        <w:rPr>
          <w:sz w:val="22"/>
          <w:szCs w:val="22"/>
        </w:rPr>
        <w:t>teaduse infrastruktuuri ühiskasutuse võimaldamist, teenuste väljatöötamist või olemasolevate teenuste tõhustamist ettevõtluskoostöö laiendamiseks, rakendusuuringute läbiviimise võimekuse kasvuks vajalike tegevuste elluviimist, kommertsialiseerimise ja teadmussiirde korralduse ja kvaliteedi arendamist, intellektuaalse omandi alase teadlikkuse suurendamist.</w:t>
      </w:r>
      <w:r w:rsidR="008D1634" w:rsidRPr="00A245DA">
        <w:rPr>
          <w:sz w:val="22"/>
          <w:szCs w:val="22"/>
        </w:rPr>
        <w:t xml:space="preserve"> Ettevõtetega koostöö arendamise all peetakse silmas lepingulist koostööd (lepingulised teadusuuringud, teenused, konsulteerimine jms)</w:t>
      </w:r>
      <w:r w:rsidR="00D12F37" w:rsidRPr="00A245DA">
        <w:rPr>
          <w:sz w:val="22"/>
          <w:szCs w:val="22"/>
        </w:rPr>
        <w:t>, kuid</w:t>
      </w:r>
      <w:r w:rsidR="008D1634" w:rsidRPr="00A245DA">
        <w:rPr>
          <w:sz w:val="22"/>
          <w:szCs w:val="22"/>
        </w:rPr>
        <w:t xml:space="preserve"> ASTRA raames ei toetata ettevõtetele teenuste pakkumist, vaid teadus- ja arendusasutuste ning kõrgkoolide poolt </w:t>
      </w:r>
      <w:r w:rsidR="008D1634" w:rsidRPr="00A245DA">
        <w:rPr>
          <w:sz w:val="22"/>
          <w:szCs w:val="22"/>
          <w:u w:val="single"/>
        </w:rPr>
        <w:t>teenuste väljatöötamist või arendamist</w:t>
      </w:r>
      <w:r w:rsidR="008D1634" w:rsidRPr="00A245DA">
        <w:rPr>
          <w:sz w:val="22"/>
          <w:szCs w:val="22"/>
        </w:rPr>
        <w:t xml:space="preserve">, mis võimaldaks ettevõtetega tehtava koostöö mahtu suurendada või koostööd alustada. Eesmärgiks on kasvatada toetust saavate asutuste </w:t>
      </w:r>
      <w:r w:rsidR="008D1634" w:rsidRPr="00A245DA">
        <w:rPr>
          <w:sz w:val="22"/>
          <w:szCs w:val="22"/>
          <w:u w:val="single"/>
        </w:rPr>
        <w:t>võimekust</w:t>
      </w:r>
      <w:r w:rsidR="008D1634" w:rsidRPr="00A245DA">
        <w:rPr>
          <w:sz w:val="22"/>
          <w:szCs w:val="22"/>
        </w:rPr>
        <w:t xml:space="preserve"> teenuste pakkumisel. Näiteks võivad toetatavad tegevused hõlmata </w:t>
      </w:r>
      <w:r w:rsidR="00CF5C81" w:rsidRPr="00A245DA">
        <w:rPr>
          <w:sz w:val="22"/>
          <w:szCs w:val="22"/>
        </w:rPr>
        <w:t xml:space="preserve">teenuste </w:t>
      </w:r>
      <w:r w:rsidR="001F7CEF" w:rsidRPr="00A245DA">
        <w:rPr>
          <w:sz w:val="22"/>
          <w:szCs w:val="22"/>
        </w:rPr>
        <w:t>kasutajate tugisüsteemide, infosüsteemide ja IT-lahenduste arendust, veebipõhiste teenuste lahenduste loomist ja testimist, teenuste osutamiseks vajalike protsesside ja protseduuride väljatöötamist ja juurutamist</w:t>
      </w:r>
      <w:r w:rsidR="00CF5C81" w:rsidRPr="00A245DA">
        <w:rPr>
          <w:sz w:val="22"/>
          <w:szCs w:val="22"/>
        </w:rPr>
        <w:t xml:space="preserve"> asutuses</w:t>
      </w:r>
      <w:r w:rsidR="001F7CEF" w:rsidRPr="00A245DA">
        <w:rPr>
          <w:sz w:val="22"/>
          <w:szCs w:val="22"/>
        </w:rPr>
        <w:t>, teenuste (potentsiaalsete) kasutajate seas uuringute läbiviimist, et välja selgitada kasutajate vajadusi ja rahulolu, turundustegevusi (nt reklaam- ja demomaterjali ettevalmistamine, veebilehe arendus), teadustaristu ühiskasutusreeglite ja teenuste hinnakirja väljatöötamist, töötajate koolitust, samuti ürituste korraldamist (</w:t>
      </w:r>
      <w:r w:rsidR="00CF5C81" w:rsidRPr="00A245DA">
        <w:rPr>
          <w:sz w:val="22"/>
          <w:szCs w:val="22"/>
        </w:rPr>
        <w:t xml:space="preserve">nt </w:t>
      </w:r>
      <w:r w:rsidR="001F7CEF" w:rsidRPr="00A245DA">
        <w:rPr>
          <w:sz w:val="22"/>
          <w:szCs w:val="22"/>
        </w:rPr>
        <w:t xml:space="preserve">intellektuaalomandi, teadmussiirde jm teemade käsitlemiseks). Kulude tasandil (vt § 7 lg 1) võivad </w:t>
      </w:r>
      <w:r w:rsidR="00CF5C81" w:rsidRPr="00A245DA">
        <w:rPr>
          <w:sz w:val="22"/>
          <w:szCs w:val="22"/>
        </w:rPr>
        <w:t xml:space="preserve">selle tegevuspaketi raames elluviidavad </w:t>
      </w:r>
      <w:r w:rsidR="001F7CEF" w:rsidRPr="00A245DA">
        <w:rPr>
          <w:sz w:val="22"/>
          <w:szCs w:val="22"/>
        </w:rPr>
        <w:t>tegevused puudutada nt personali- ja üldkulusid, aparatuuri soetamise, ürituste korraldamise, sisseostetavate teenuste jm kulusid.</w:t>
      </w:r>
      <w:r w:rsidR="00D12F37" w:rsidRPr="00A245DA">
        <w:rPr>
          <w:sz w:val="22"/>
          <w:szCs w:val="22"/>
        </w:rPr>
        <w:t xml:space="preserve"> Koostöö ettevõtetega võib laiemas mõttes toimuda ka nt </w:t>
      </w:r>
      <w:r w:rsidR="0086425B" w:rsidRPr="00A245DA">
        <w:rPr>
          <w:sz w:val="22"/>
          <w:szCs w:val="22"/>
        </w:rPr>
        <w:t xml:space="preserve">selle kaudu, et </w:t>
      </w:r>
      <w:r w:rsidR="00D12F37" w:rsidRPr="00A245DA">
        <w:rPr>
          <w:sz w:val="22"/>
          <w:szCs w:val="22"/>
        </w:rPr>
        <w:t>ettevõt</w:t>
      </w:r>
      <w:r w:rsidR="0086425B" w:rsidRPr="00A245DA">
        <w:rPr>
          <w:sz w:val="22"/>
          <w:szCs w:val="22"/>
        </w:rPr>
        <w:t xml:space="preserve">ete esindajad osalevad </w:t>
      </w:r>
      <w:r w:rsidR="00D12F37" w:rsidRPr="00A245DA">
        <w:rPr>
          <w:sz w:val="22"/>
          <w:szCs w:val="22"/>
        </w:rPr>
        <w:t>kõrgkoolide otsustuskogu</w:t>
      </w:r>
      <w:r w:rsidR="0086425B" w:rsidRPr="00A245DA">
        <w:rPr>
          <w:sz w:val="22"/>
          <w:szCs w:val="22"/>
        </w:rPr>
        <w:t>de</w:t>
      </w:r>
      <w:r w:rsidR="00D12F37" w:rsidRPr="00A245DA">
        <w:rPr>
          <w:sz w:val="22"/>
          <w:szCs w:val="22"/>
        </w:rPr>
        <w:t xml:space="preserve"> ja nõuandvate kogude</w:t>
      </w:r>
      <w:r w:rsidR="0086425B" w:rsidRPr="00A245DA">
        <w:rPr>
          <w:sz w:val="22"/>
          <w:szCs w:val="22"/>
        </w:rPr>
        <w:t xml:space="preserve"> töös</w:t>
      </w:r>
      <w:r w:rsidR="00D12F37" w:rsidRPr="00A245DA">
        <w:rPr>
          <w:sz w:val="22"/>
          <w:szCs w:val="22"/>
        </w:rPr>
        <w:t>, õppekavade arendamise</w:t>
      </w:r>
      <w:r w:rsidR="0086425B" w:rsidRPr="00A245DA">
        <w:rPr>
          <w:sz w:val="22"/>
          <w:szCs w:val="22"/>
        </w:rPr>
        <w:t>l</w:t>
      </w:r>
      <w:r w:rsidR="00D12F37" w:rsidRPr="00A245DA">
        <w:rPr>
          <w:sz w:val="22"/>
          <w:szCs w:val="22"/>
        </w:rPr>
        <w:t xml:space="preserve"> jms, kuid sel juhul loetakse neid tegevusi </w:t>
      </w:r>
      <w:r w:rsidR="0086425B" w:rsidRPr="00A245DA">
        <w:rPr>
          <w:sz w:val="22"/>
          <w:szCs w:val="22"/>
        </w:rPr>
        <w:t xml:space="preserve">kõrgkoolide </w:t>
      </w:r>
      <w:r w:rsidR="00D12F37" w:rsidRPr="00A245DA">
        <w:rPr>
          <w:sz w:val="22"/>
          <w:szCs w:val="22"/>
        </w:rPr>
        <w:t>põhitegevuse osaks</w:t>
      </w:r>
      <w:r w:rsidR="0086425B" w:rsidRPr="00A245DA">
        <w:rPr>
          <w:sz w:val="22"/>
          <w:szCs w:val="22"/>
        </w:rPr>
        <w:t xml:space="preserve"> (nende tegevuste eraldi toetamine ei ole toetuse andmise eesmärgiks)</w:t>
      </w:r>
      <w:r w:rsidR="00D12F37" w:rsidRPr="00A245DA">
        <w:rPr>
          <w:sz w:val="22"/>
          <w:szCs w:val="22"/>
        </w:rPr>
        <w:t>.</w:t>
      </w:r>
    </w:p>
    <w:p w14:paraId="67947F21" w14:textId="77777777" w:rsidR="009D0C0E" w:rsidRPr="00A245DA" w:rsidRDefault="009D0C0E" w:rsidP="00FF5FDD">
      <w:pPr>
        <w:pStyle w:val="VahedetaTimes12"/>
        <w:jc w:val="both"/>
        <w:rPr>
          <w:sz w:val="22"/>
          <w:szCs w:val="22"/>
        </w:rPr>
      </w:pPr>
    </w:p>
    <w:p w14:paraId="6658E0CB" w14:textId="5AA747F3" w:rsidR="00FF5FDD" w:rsidRPr="00A245DA" w:rsidRDefault="00863332" w:rsidP="00FF5FDD">
      <w:pPr>
        <w:pStyle w:val="VahedetaTimes12"/>
        <w:jc w:val="both"/>
        <w:rPr>
          <w:sz w:val="22"/>
          <w:szCs w:val="22"/>
        </w:rPr>
      </w:pPr>
      <w:r w:rsidRPr="00A245DA">
        <w:rPr>
          <w:sz w:val="22"/>
          <w:szCs w:val="22"/>
        </w:rPr>
        <w:t xml:space="preserve">Punktides 2-7 nimetatud tegevusi käsitletakse seletuskirjas edaspidi ka ühe </w:t>
      </w:r>
      <w:r w:rsidR="005F43A2" w:rsidRPr="00A245DA">
        <w:rPr>
          <w:sz w:val="22"/>
          <w:szCs w:val="22"/>
        </w:rPr>
        <w:t>üld</w:t>
      </w:r>
      <w:r w:rsidRPr="00A245DA">
        <w:rPr>
          <w:sz w:val="22"/>
          <w:szCs w:val="22"/>
        </w:rPr>
        <w:t xml:space="preserve">nimetajana kui </w:t>
      </w:r>
      <w:r w:rsidRPr="00A245DA">
        <w:rPr>
          <w:sz w:val="22"/>
          <w:szCs w:val="22"/>
          <w:u w:val="single"/>
        </w:rPr>
        <w:t>sisutegevused</w:t>
      </w:r>
      <w:r w:rsidRPr="00A245DA">
        <w:rPr>
          <w:sz w:val="22"/>
          <w:szCs w:val="22"/>
        </w:rPr>
        <w:t>.</w:t>
      </w:r>
      <w:r w:rsidR="00FF5FDD" w:rsidRPr="00A245DA">
        <w:rPr>
          <w:sz w:val="22"/>
          <w:szCs w:val="22"/>
        </w:rPr>
        <w:t xml:space="preserve">  </w:t>
      </w:r>
    </w:p>
    <w:p w14:paraId="079B36DC" w14:textId="77777777" w:rsidR="001F7CEF" w:rsidRPr="00A245DA" w:rsidRDefault="001F7CEF" w:rsidP="00F214C4">
      <w:pPr>
        <w:pStyle w:val="VahedetaTimes12"/>
        <w:jc w:val="both"/>
        <w:rPr>
          <w:sz w:val="22"/>
          <w:szCs w:val="22"/>
          <w:u w:val="single"/>
        </w:rPr>
      </w:pPr>
    </w:p>
    <w:p w14:paraId="75CECD36" w14:textId="2FE47471" w:rsidR="00DE1A31" w:rsidRPr="00A245DA" w:rsidRDefault="00DE1A31" w:rsidP="00F214C4">
      <w:pPr>
        <w:pStyle w:val="VahedetaTimes12"/>
        <w:jc w:val="both"/>
        <w:rPr>
          <w:sz w:val="22"/>
          <w:szCs w:val="22"/>
        </w:rPr>
      </w:pPr>
      <w:r w:rsidRPr="00A245DA">
        <w:rPr>
          <w:sz w:val="22"/>
          <w:szCs w:val="22"/>
          <w:u w:val="single"/>
        </w:rPr>
        <w:t>Lõigetes 2 ja 3</w:t>
      </w:r>
      <w:r w:rsidRPr="00A245DA">
        <w:rPr>
          <w:sz w:val="22"/>
          <w:szCs w:val="22"/>
        </w:rPr>
        <w:t xml:space="preserve"> </w:t>
      </w:r>
      <w:r w:rsidR="00CB042A" w:rsidRPr="00A245DA">
        <w:rPr>
          <w:sz w:val="22"/>
          <w:szCs w:val="22"/>
        </w:rPr>
        <w:t>lisatakse kaks</w:t>
      </w:r>
      <w:r w:rsidRPr="00A245DA">
        <w:rPr>
          <w:sz w:val="22"/>
          <w:szCs w:val="22"/>
        </w:rPr>
        <w:t xml:space="preserve"> täiendavat tingimust. Kui projekti tulemust ei saa otseselt mõõta ettevõtetega tehtava koostöö mahu kaudu, siis peab sellel projektil olema ettevõt</w:t>
      </w:r>
      <w:r w:rsidR="001F7CEF" w:rsidRPr="00A245DA">
        <w:rPr>
          <w:sz w:val="22"/>
          <w:szCs w:val="22"/>
        </w:rPr>
        <w:t xml:space="preserve">etega tehtavale </w:t>
      </w:r>
      <w:r w:rsidRPr="00A245DA">
        <w:rPr>
          <w:sz w:val="22"/>
          <w:szCs w:val="22"/>
        </w:rPr>
        <w:t xml:space="preserve">koostööle eeldusi loov ja toetav mõju. </w:t>
      </w:r>
      <w:r w:rsidR="00B90062" w:rsidRPr="00A245DA">
        <w:rPr>
          <w:sz w:val="22"/>
          <w:szCs w:val="22"/>
        </w:rPr>
        <w:t>E</w:t>
      </w:r>
      <w:r w:rsidR="007276B9" w:rsidRPr="00A245DA">
        <w:rPr>
          <w:sz w:val="22"/>
          <w:szCs w:val="22"/>
        </w:rPr>
        <w:t>ttepanekus tuleb sel juhul kirjeldada, kuidas kavandatavad tegevused loovad ettevõt</w:t>
      </w:r>
      <w:r w:rsidR="00A727B9" w:rsidRPr="00A245DA">
        <w:rPr>
          <w:sz w:val="22"/>
          <w:szCs w:val="22"/>
        </w:rPr>
        <w:t xml:space="preserve">etega tehtavale </w:t>
      </w:r>
      <w:r w:rsidR="007276B9" w:rsidRPr="00A245DA">
        <w:rPr>
          <w:sz w:val="22"/>
          <w:szCs w:val="22"/>
        </w:rPr>
        <w:t xml:space="preserve">koostööle eeldusi või omavad </w:t>
      </w:r>
      <w:r w:rsidR="00A727B9" w:rsidRPr="00A245DA">
        <w:rPr>
          <w:sz w:val="22"/>
          <w:szCs w:val="22"/>
        </w:rPr>
        <w:t xml:space="preserve">sellele </w:t>
      </w:r>
      <w:r w:rsidR="007276B9" w:rsidRPr="00A245DA">
        <w:rPr>
          <w:sz w:val="22"/>
          <w:szCs w:val="22"/>
        </w:rPr>
        <w:t>toetavat mõju (vt § 11 lg</w:t>
      </w:r>
      <w:r w:rsidR="001B04E1" w:rsidRPr="00A245DA">
        <w:rPr>
          <w:sz w:val="22"/>
          <w:szCs w:val="22"/>
        </w:rPr>
        <w:t xml:space="preserve"> </w:t>
      </w:r>
      <w:r w:rsidR="001B04E1" w:rsidRPr="00A245DA">
        <w:rPr>
          <w:sz w:val="22"/>
          <w:szCs w:val="22"/>
        </w:rPr>
        <w:lastRenderedPageBreak/>
        <w:t xml:space="preserve">2 </w:t>
      </w:r>
      <w:r w:rsidR="007276B9" w:rsidRPr="00A245DA">
        <w:rPr>
          <w:sz w:val="22"/>
          <w:szCs w:val="22"/>
        </w:rPr>
        <w:t xml:space="preserve">p 4). </w:t>
      </w:r>
      <w:r w:rsidRPr="00A245DA">
        <w:rPr>
          <w:sz w:val="22"/>
          <w:szCs w:val="22"/>
        </w:rPr>
        <w:t>Teine tingimus kehtib juhul, kui taotletakse toetust te</w:t>
      </w:r>
      <w:r w:rsidR="00601F91" w:rsidRPr="00A245DA">
        <w:rPr>
          <w:sz w:val="22"/>
          <w:szCs w:val="22"/>
        </w:rPr>
        <w:t>adus- ja õppehoonete rajamiseks,</w:t>
      </w:r>
      <w:r w:rsidRPr="00A245DA">
        <w:rPr>
          <w:sz w:val="22"/>
          <w:szCs w:val="22"/>
        </w:rPr>
        <w:t xml:space="preserve"> </w:t>
      </w:r>
      <w:r w:rsidR="00601F91" w:rsidRPr="00A245DA">
        <w:rPr>
          <w:sz w:val="22"/>
          <w:szCs w:val="22"/>
        </w:rPr>
        <w:t>mi</w:t>
      </w:r>
      <w:r w:rsidRPr="00A245DA">
        <w:rPr>
          <w:sz w:val="22"/>
          <w:szCs w:val="22"/>
        </w:rPr>
        <w:t>l</w:t>
      </w:r>
      <w:r w:rsidR="00A727B9" w:rsidRPr="00A245DA">
        <w:rPr>
          <w:sz w:val="22"/>
          <w:szCs w:val="22"/>
        </w:rPr>
        <w:t>le puhul</w:t>
      </w:r>
      <w:r w:rsidRPr="00A245DA">
        <w:rPr>
          <w:sz w:val="22"/>
          <w:szCs w:val="22"/>
        </w:rPr>
        <w:t xml:space="preserve"> tuleb </w:t>
      </w:r>
      <w:r w:rsidR="00601F91" w:rsidRPr="00A245DA">
        <w:rPr>
          <w:sz w:val="22"/>
          <w:szCs w:val="22"/>
        </w:rPr>
        <w:t>hoonete rajamise tegevused seostada projekti sisutegevustega.</w:t>
      </w:r>
      <w:r w:rsidR="00BA2A9B" w:rsidRPr="00A245DA">
        <w:rPr>
          <w:sz w:val="22"/>
          <w:szCs w:val="22"/>
        </w:rPr>
        <w:t xml:space="preserve"> See tähendab, et teadus- ja õppehoonete rajamist toetatakse ASTRA raames vaid koos sisutegevuste toetamisega</w:t>
      </w:r>
      <w:r w:rsidR="00216E40" w:rsidRPr="00A245DA">
        <w:rPr>
          <w:sz w:val="22"/>
          <w:szCs w:val="22"/>
        </w:rPr>
        <w:t>, mis on kirjeldatud § 6 lg 1 punktides 2-7</w:t>
      </w:r>
      <w:r w:rsidR="00BA2A9B" w:rsidRPr="00A245DA">
        <w:rPr>
          <w:sz w:val="22"/>
          <w:szCs w:val="22"/>
        </w:rPr>
        <w:t>. Teadus- ja õppehoonete rajamist eraldiseisvana ei rahastata (vt ka § 14 lg 6 selgitust).</w:t>
      </w:r>
    </w:p>
    <w:p w14:paraId="51E03005" w14:textId="3E3ECA7B" w:rsidR="001B04E1" w:rsidRPr="00A245DA" w:rsidRDefault="001B04E1" w:rsidP="00F214C4">
      <w:pPr>
        <w:pStyle w:val="VahedetaTimes12"/>
        <w:jc w:val="both"/>
        <w:rPr>
          <w:sz w:val="22"/>
          <w:szCs w:val="22"/>
        </w:rPr>
      </w:pPr>
      <w:r w:rsidRPr="00A245DA">
        <w:rPr>
          <w:sz w:val="22"/>
          <w:szCs w:val="22"/>
          <w:u w:val="single"/>
        </w:rPr>
        <w:t xml:space="preserve">Lõikes 4 </w:t>
      </w:r>
      <w:r w:rsidRPr="00A245DA">
        <w:rPr>
          <w:sz w:val="22"/>
          <w:szCs w:val="22"/>
        </w:rPr>
        <w:t>sätestatakse nõuded doktoriõppe kvaliteedi ja efektiivsuse suurendamisega seotud tegevustele.</w:t>
      </w:r>
      <w:r w:rsidR="00B13E3B" w:rsidRPr="00A245DA">
        <w:rPr>
          <w:sz w:val="22"/>
          <w:szCs w:val="22"/>
        </w:rPr>
        <w:t xml:space="preserve"> Tegevused peavad toimuma ülikoolide koostöös, mille tõendamiseks esitatakse vastav eellepe. Iga asutus kajastab oma projektis vastava osa tegevuspaketist koos eelarvega.</w:t>
      </w:r>
    </w:p>
    <w:p w14:paraId="2226A020" w14:textId="41B82E97" w:rsidR="00F214C4" w:rsidRPr="00A245DA" w:rsidRDefault="001C2A95" w:rsidP="00F214C4">
      <w:pPr>
        <w:pStyle w:val="VahedetaTimes12"/>
        <w:jc w:val="both"/>
        <w:rPr>
          <w:sz w:val="22"/>
          <w:szCs w:val="22"/>
        </w:rPr>
      </w:pPr>
      <w:r w:rsidRPr="00A245DA">
        <w:rPr>
          <w:sz w:val="22"/>
          <w:szCs w:val="22"/>
          <w:u w:val="single"/>
        </w:rPr>
        <w:t xml:space="preserve">Lõikes </w:t>
      </w:r>
      <w:r w:rsidR="001B04E1" w:rsidRPr="00A245DA">
        <w:rPr>
          <w:sz w:val="22"/>
          <w:szCs w:val="22"/>
          <w:u w:val="single"/>
        </w:rPr>
        <w:t>5</w:t>
      </w:r>
      <w:r w:rsidRPr="00A245DA">
        <w:rPr>
          <w:sz w:val="22"/>
          <w:szCs w:val="22"/>
        </w:rPr>
        <w:t xml:space="preserve"> sätestatakse, et toetust ei eraldata juhul, kui projekti tegevused on juba ellu viidud. </w:t>
      </w:r>
      <w:r w:rsidR="00F214C4" w:rsidRPr="00A245DA">
        <w:rPr>
          <w:sz w:val="22"/>
          <w:szCs w:val="22"/>
        </w:rPr>
        <w:t xml:space="preserve">Esitatud nõue toetatavate tegevuste mittelõpetamise kohta tuleneb VV määruse nr 133 „Perioodi 2014-2020 struktuuritoetuse taotlemise ja taotluste menetlemise nõuded ja tingimused toetuse andmise tingimuste määruse kehtestamiseks“ (edaspidi </w:t>
      </w:r>
      <w:r w:rsidR="00F214C4" w:rsidRPr="00A245DA">
        <w:rPr>
          <w:i/>
          <w:sz w:val="22"/>
          <w:szCs w:val="22"/>
        </w:rPr>
        <w:t>TMM</w:t>
      </w:r>
      <w:r w:rsidR="00F214C4" w:rsidRPr="00A245DA">
        <w:rPr>
          <w:sz w:val="22"/>
          <w:szCs w:val="22"/>
        </w:rPr>
        <w:t xml:space="preserve">) § 4 lg 1 punktist 9. Sõna ”tegevus” on mitmuses. Seega nõue ei ole täidetud, kui kõik tegevused on ellu viidud. Kui tegemist on ühe tegevusega mitmest, siis nõue on täidetud, kui üks või mõni tegevus on tegemata. </w:t>
      </w:r>
    </w:p>
    <w:p w14:paraId="1A4A04B3" w14:textId="4AF8C3EF" w:rsidR="00397737" w:rsidRPr="00A245DA" w:rsidRDefault="00A220B8" w:rsidP="00397737">
      <w:pPr>
        <w:pStyle w:val="VahedetaTimes12"/>
        <w:jc w:val="both"/>
        <w:rPr>
          <w:sz w:val="22"/>
          <w:szCs w:val="22"/>
        </w:rPr>
      </w:pPr>
      <w:r w:rsidRPr="00A245DA">
        <w:rPr>
          <w:sz w:val="22"/>
          <w:szCs w:val="22"/>
          <w:u w:val="single"/>
        </w:rPr>
        <w:t>Lõikes 6</w:t>
      </w:r>
      <w:r w:rsidRPr="00A245DA">
        <w:rPr>
          <w:sz w:val="22"/>
          <w:szCs w:val="22"/>
        </w:rPr>
        <w:t xml:space="preserve"> sätestatakse, et juhul, kui projekti raames soetatud vara abil ja arendustegevuse tulemusena osutatakse teenuseid erasektorile, tuleb toetuse saajal kinnitada, et seda tehakse üksnes turutingimustel</w:t>
      </w:r>
      <w:r w:rsidR="00584F43" w:rsidRPr="00A245DA">
        <w:rPr>
          <w:sz w:val="22"/>
          <w:szCs w:val="22"/>
        </w:rPr>
        <w:t>.</w:t>
      </w:r>
      <w:r w:rsidRPr="00A245DA">
        <w:rPr>
          <w:sz w:val="22"/>
          <w:szCs w:val="22"/>
        </w:rPr>
        <w:t xml:space="preserve"> </w:t>
      </w:r>
      <w:r w:rsidR="00584F43" w:rsidRPr="00A245DA">
        <w:rPr>
          <w:sz w:val="22"/>
          <w:szCs w:val="22"/>
        </w:rPr>
        <w:t xml:space="preserve">Turutingimuste mõiste sisustamiseks on võetud üldise grupierandi määruse artikli 2 punktis 89 toodud reaalturutingimuste definitsioon, </w:t>
      </w:r>
      <w:r w:rsidR="00397737" w:rsidRPr="00A245DA">
        <w:rPr>
          <w:sz w:val="22"/>
          <w:szCs w:val="22"/>
        </w:rPr>
        <w:t>mis tähendab seda, et pooltevahelise tehingu tingimused ei erine nendest, mis oleksid kehtinud sõltumatute</w:t>
      </w:r>
      <w:r w:rsidR="001165EA" w:rsidRPr="00A245DA">
        <w:rPr>
          <w:sz w:val="22"/>
          <w:szCs w:val="22"/>
        </w:rPr>
        <w:t xml:space="preserve"> </w:t>
      </w:r>
      <w:r w:rsidR="00397737" w:rsidRPr="00A245DA">
        <w:rPr>
          <w:sz w:val="22"/>
          <w:szCs w:val="22"/>
        </w:rPr>
        <w:t>ettevõtjate vahel, ja puudub salajane kokkulepe, ning iga tehing, mis tuleneb avatud, läbipaistvast ja mittediskrimineerivast pakkumismenetlusest, loetakse reaalturutingimuste põhimõttele vastavaks.</w:t>
      </w:r>
    </w:p>
    <w:p w14:paraId="2BC6AB82" w14:textId="2C7080C0" w:rsidR="00A220B8" w:rsidRPr="00A245DA" w:rsidRDefault="00584F43" w:rsidP="00A220B8">
      <w:pPr>
        <w:pStyle w:val="VahedetaTimes12"/>
        <w:jc w:val="both"/>
        <w:rPr>
          <w:sz w:val="22"/>
          <w:szCs w:val="22"/>
        </w:rPr>
      </w:pPr>
      <w:r w:rsidRPr="00A245DA">
        <w:rPr>
          <w:sz w:val="22"/>
          <w:szCs w:val="22"/>
        </w:rPr>
        <w:t>T</w:t>
      </w:r>
      <w:r w:rsidR="00A220B8" w:rsidRPr="00A245DA">
        <w:rPr>
          <w:sz w:val="22"/>
          <w:szCs w:val="22"/>
        </w:rPr>
        <w:t xml:space="preserve">uru puudumisel </w:t>
      </w:r>
      <w:r w:rsidR="00A72BEC" w:rsidRPr="00A245DA">
        <w:rPr>
          <w:sz w:val="22"/>
          <w:szCs w:val="22"/>
        </w:rPr>
        <w:t xml:space="preserve">osutatakse teenuseid </w:t>
      </w:r>
      <w:r w:rsidR="00A220B8" w:rsidRPr="00A245DA">
        <w:rPr>
          <w:sz w:val="22"/>
          <w:szCs w:val="22"/>
        </w:rPr>
        <w:t>omahinna ja selle</w:t>
      </w:r>
      <w:r w:rsidR="001165EA" w:rsidRPr="00A245DA">
        <w:rPr>
          <w:sz w:val="22"/>
          <w:szCs w:val="22"/>
        </w:rPr>
        <w:t>le</w:t>
      </w:r>
      <w:r w:rsidR="00A220B8" w:rsidRPr="00A245DA">
        <w:rPr>
          <w:sz w:val="22"/>
          <w:szCs w:val="22"/>
        </w:rPr>
        <w:t xml:space="preserve"> lisanduva mõistliku kasumimarginaaliga. Antud nõue on kehtestatud riigiabi välistamise tingimuse täitmiseks. Samas on vajalik täpsustada, et üldjuhul ei ole </w:t>
      </w:r>
      <w:r w:rsidR="001477FA" w:rsidRPr="00A245DA">
        <w:rPr>
          <w:sz w:val="22"/>
          <w:szCs w:val="22"/>
        </w:rPr>
        <w:t>teadus- ja arendus</w:t>
      </w:r>
      <w:r w:rsidR="00A220B8" w:rsidRPr="00A245DA">
        <w:rPr>
          <w:sz w:val="22"/>
          <w:szCs w:val="22"/>
        </w:rPr>
        <w:t xml:space="preserve">asutused ja kõrgkoolid riigiabi saajad. ASTRA meetme raames toetuse andmise eesmärgiks on  teadus- ja arendusasutuste ning kõrgkoolide konkurentsivõime ja ühiskonna teenimise võimekuse kasv asutuste vastutusvaldkondades ja nutika spetsialiseerumise kasvuvaldkondades ning teadus- ja arendus </w:t>
      </w:r>
      <w:r w:rsidR="00C5458B" w:rsidRPr="00A245DA">
        <w:rPr>
          <w:sz w:val="22"/>
          <w:szCs w:val="22"/>
        </w:rPr>
        <w:t>ning</w:t>
      </w:r>
      <w:r w:rsidR="00A220B8" w:rsidRPr="00A245DA">
        <w:rPr>
          <w:sz w:val="22"/>
          <w:szCs w:val="22"/>
        </w:rPr>
        <w:t xml:space="preserve"> kõrgharidussüsteemi efektiivsuse suurendamine, sealhulgas asutuste struktuursete ümberkorralduste teel. Toetatakse avalik-õiguslike ja riigi omanduses olevate </w:t>
      </w:r>
      <w:r w:rsidR="001477FA" w:rsidRPr="00A245DA">
        <w:rPr>
          <w:sz w:val="22"/>
          <w:szCs w:val="22"/>
        </w:rPr>
        <w:t>teadus- ja arendus</w:t>
      </w:r>
      <w:r w:rsidR="00A220B8" w:rsidRPr="00A245DA">
        <w:rPr>
          <w:sz w:val="22"/>
          <w:szCs w:val="22"/>
        </w:rPr>
        <w:t>asutuste ja kõrgkoolide arengut, kes oma põhitegevuse iseloomult (avalikes huvides ning riigi poolt eraldatud vahenditega tehtavad tegevused </w:t>
      </w:r>
      <w:r w:rsidR="001477FA" w:rsidRPr="00A245DA">
        <w:rPr>
          <w:sz w:val="22"/>
          <w:szCs w:val="22"/>
        </w:rPr>
        <w:t>–</w:t>
      </w:r>
      <w:r w:rsidR="00A220B8" w:rsidRPr="00A245DA">
        <w:rPr>
          <w:sz w:val="22"/>
          <w:szCs w:val="22"/>
        </w:rPr>
        <w:t xml:space="preserve"> tasemeõpe, </w:t>
      </w:r>
      <w:r w:rsidR="001477FA" w:rsidRPr="00A245DA">
        <w:rPr>
          <w:sz w:val="22"/>
          <w:szCs w:val="22"/>
        </w:rPr>
        <w:t>teadus- ja arendus</w:t>
      </w:r>
      <w:r w:rsidR="00A220B8" w:rsidRPr="00A245DA">
        <w:rPr>
          <w:sz w:val="22"/>
          <w:szCs w:val="22"/>
        </w:rPr>
        <w:t>tegevus) ei saa olla riigiabi saaja.</w:t>
      </w:r>
      <w:r w:rsidR="0049170D" w:rsidRPr="00A245DA">
        <w:rPr>
          <w:sz w:val="22"/>
          <w:szCs w:val="22"/>
        </w:rPr>
        <w:t xml:space="preserve"> </w:t>
      </w:r>
      <w:r w:rsidR="001477FA" w:rsidRPr="00A245DA">
        <w:rPr>
          <w:sz w:val="22"/>
          <w:szCs w:val="22"/>
        </w:rPr>
        <w:t>K</w:t>
      </w:r>
      <w:r w:rsidR="0049170D" w:rsidRPr="00A245DA">
        <w:rPr>
          <w:sz w:val="22"/>
          <w:szCs w:val="22"/>
        </w:rPr>
        <w:t>una avalik-õiguslikud ülikoolid ning riiklikud teadus- ja arendusasutused saavad oma tegevusest saadud tulu üksnes reinvesteerida asutuse põhitegevusse (mi</w:t>
      </w:r>
      <w:r w:rsidR="00E24A45" w:rsidRPr="00A245DA">
        <w:rPr>
          <w:sz w:val="22"/>
          <w:szCs w:val="22"/>
        </w:rPr>
        <w:t>tte</w:t>
      </w:r>
      <w:r w:rsidR="0049170D" w:rsidRPr="00A245DA">
        <w:rPr>
          <w:sz w:val="22"/>
          <w:szCs w:val="22"/>
        </w:rPr>
        <w:t xml:space="preserve"> jagada kasumit nt aktsionäride vahel), ei saa nimetatud asutused sellega turul konkurentsieelist.</w:t>
      </w:r>
      <w:r w:rsidR="00FD71E8" w:rsidRPr="00A245DA">
        <w:rPr>
          <w:sz w:val="22"/>
          <w:szCs w:val="22"/>
        </w:rPr>
        <w:t xml:space="preserve"> Siinkohal tuleb täpsustada, et antud juhul </w:t>
      </w:r>
      <w:r w:rsidR="009674E1" w:rsidRPr="00A245DA">
        <w:rPr>
          <w:sz w:val="22"/>
          <w:szCs w:val="22"/>
        </w:rPr>
        <w:t xml:space="preserve">ei toetata </w:t>
      </w:r>
      <w:r w:rsidR="007149B8" w:rsidRPr="00A245DA">
        <w:rPr>
          <w:sz w:val="22"/>
          <w:szCs w:val="22"/>
        </w:rPr>
        <w:t xml:space="preserve">ASTRA alusel </w:t>
      </w:r>
      <w:r w:rsidR="009674E1" w:rsidRPr="00A245DA">
        <w:rPr>
          <w:sz w:val="22"/>
          <w:szCs w:val="22"/>
        </w:rPr>
        <w:t xml:space="preserve">teenuste osutamist, vaid </w:t>
      </w:r>
      <w:r w:rsidR="00A727B9" w:rsidRPr="00A245DA">
        <w:rPr>
          <w:sz w:val="22"/>
          <w:szCs w:val="22"/>
          <w:u w:val="single"/>
        </w:rPr>
        <w:t xml:space="preserve">teenuste </w:t>
      </w:r>
      <w:r w:rsidR="00CF5C81" w:rsidRPr="00A245DA">
        <w:rPr>
          <w:sz w:val="22"/>
          <w:szCs w:val="22"/>
          <w:u w:val="single"/>
        </w:rPr>
        <w:t xml:space="preserve">väljatöötamist, </w:t>
      </w:r>
      <w:r w:rsidR="00A727B9" w:rsidRPr="00A245DA">
        <w:rPr>
          <w:sz w:val="22"/>
          <w:szCs w:val="22"/>
          <w:u w:val="single"/>
        </w:rPr>
        <w:t>arendamist</w:t>
      </w:r>
      <w:r w:rsidR="00A727B9" w:rsidRPr="00A245DA">
        <w:rPr>
          <w:sz w:val="22"/>
          <w:szCs w:val="22"/>
        </w:rPr>
        <w:t>, teenuste pakkumise võimekuse kasvatamist.</w:t>
      </w:r>
      <w:r w:rsidR="003B5BB3" w:rsidRPr="00A245DA">
        <w:rPr>
          <w:sz w:val="22"/>
          <w:szCs w:val="22"/>
        </w:rPr>
        <w:t xml:space="preserve"> </w:t>
      </w:r>
    </w:p>
    <w:p w14:paraId="7925556A" w14:textId="77777777" w:rsidR="007149B8" w:rsidRPr="00A245DA" w:rsidRDefault="007149B8" w:rsidP="00A220B8">
      <w:pPr>
        <w:pStyle w:val="VahedetaTimes12"/>
        <w:jc w:val="both"/>
        <w:rPr>
          <w:sz w:val="22"/>
          <w:szCs w:val="22"/>
        </w:rPr>
      </w:pPr>
    </w:p>
    <w:p w14:paraId="1C202CA9" w14:textId="64AA67E2" w:rsidR="001D4D2C" w:rsidRPr="00A245DA" w:rsidRDefault="000850F5" w:rsidP="00467B1C">
      <w:pPr>
        <w:pStyle w:val="NoSpacing"/>
        <w:jc w:val="both"/>
        <w:rPr>
          <w:rFonts w:ascii="Times New Roman" w:hAnsi="Times New Roman" w:cs="Times New Roman"/>
        </w:rPr>
      </w:pPr>
      <w:r w:rsidRPr="00A245DA">
        <w:rPr>
          <w:rFonts w:ascii="Times New Roman" w:hAnsi="Times New Roman" w:cs="Times New Roman"/>
          <w:u w:val="single"/>
        </w:rPr>
        <w:t>§ 7 lõikes 1</w:t>
      </w:r>
      <w:r w:rsidRPr="00A245DA">
        <w:rPr>
          <w:rFonts w:ascii="Times New Roman" w:hAnsi="Times New Roman" w:cs="Times New Roman"/>
        </w:rPr>
        <w:t xml:space="preserve"> loetletakse abikõlblikud kulud. Abikõlblike kulude puhul tuleb ühtlasi järgida ASTRA raames seatud piirmäärasid (taotletava summa minimaalne suurus projekti kohta, erinevatele ASTRA raames toetatavatele tegevustele kehtestatud toetuse piirmäär</w:t>
      </w:r>
      <w:r w:rsidR="00467B1C" w:rsidRPr="00A245DA">
        <w:rPr>
          <w:rFonts w:ascii="Times New Roman" w:hAnsi="Times New Roman" w:cs="Times New Roman"/>
        </w:rPr>
        <w:t>a arvutamise põhimõtted jm</w:t>
      </w:r>
      <w:r w:rsidRPr="00A245DA">
        <w:rPr>
          <w:rFonts w:ascii="Times New Roman" w:hAnsi="Times New Roman" w:cs="Times New Roman"/>
        </w:rPr>
        <w:t>)</w:t>
      </w:r>
      <w:r w:rsidR="00467B1C" w:rsidRPr="00A245DA">
        <w:rPr>
          <w:rFonts w:ascii="Times New Roman" w:hAnsi="Times New Roman" w:cs="Times New Roman"/>
        </w:rPr>
        <w:t>,</w:t>
      </w:r>
      <w:r w:rsidRPr="00A245DA">
        <w:rPr>
          <w:rFonts w:ascii="Times New Roman" w:hAnsi="Times New Roman" w:cs="Times New Roman"/>
        </w:rPr>
        <w:t xml:space="preserve"> mis on lähemalt kirjeldatud § 9 all.</w:t>
      </w:r>
      <w:r w:rsidR="00BB2560" w:rsidRPr="00A245DA">
        <w:rPr>
          <w:rFonts w:ascii="Times New Roman" w:hAnsi="Times New Roman" w:cs="Times New Roman"/>
        </w:rPr>
        <w:t xml:space="preserve"> Lähtutakse ka § 2 all toodud määratlustest, mis aitavad avada toetatavate tegevuste ja kulude sisu</w:t>
      </w:r>
      <w:r w:rsidR="001D4D2C" w:rsidRPr="00A245DA">
        <w:rPr>
          <w:rFonts w:ascii="Times New Roman" w:hAnsi="Times New Roman" w:cs="Times New Roman"/>
        </w:rPr>
        <w:t>.</w:t>
      </w:r>
    </w:p>
    <w:p w14:paraId="7C64E26E" w14:textId="4DC95306" w:rsidR="00467B1C" w:rsidRPr="00A245DA" w:rsidRDefault="00467B1C" w:rsidP="00467B1C">
      <w:pPr>
        <w:pStyle w:val="NoSpacing"/>
        <w:jc w:val="both"/>
        <w:rPr>
          <w:rFonts w:ascii="Times New Roman" w:hAnsi="Times New Roman" w:cs="Times New Roman"/>
        </w:rPr>
      </w:pPr>
      <w:r w:rsidRPr="00A245DA">
        <w:rPr>
          <w:rFonts w:ascii="Times New Roman" w:hAnsi="Times New Roman" w:cs="Times New Roman"/>
          <w:u w:val="single"/>
        </w:rPr>
        <w:t>Lõike 1 punktides 1-</w:t>
      </w:r>
      <w:r w:rsidR="0050628F" w:rsidRPr="00A245DA">
        <w:rPr>
          <w:rFonts w:ascii="Times New Roman" w:hAnsi="Times New Roman" w:cs="Times New Roman"/>
          <w:u w:val="single"/>
        </w:rPr>
        <w:t>14</w:t>
      </w:r>
      <w:r w:rsidRPr="00A245DA">
        <w:rPr>
          <w:rFonts w:ascii="Times New Roman" w:hAnsi="Times New Roman" w:cs="Times New Roman"/>
        </w:rPr>
        <w:t xml:space="preserve"> on toodud abikõlblike kulude </w:t>
      </w:r>
      <w:r w:rsidR="007164CF" w:rsidRPr="00A245DA">
        <w:rPr>
          <w:rFonts w:ascii="Times New Roman" w:hAnsi="Times New Roman" w:cs="Times New Roman"/>
        </w:rPr>
        <w:t xml:space="preserve">liikide </w:t>
      </w:r>
      <w:r w:rsidR="00833ACC" w:rsidRPr="00A245DA">
        <w:rPr>
          <w:rFonts w:ascii="Times New Roman" w:hAnsi="Times New Roman" w:cs="Times New Roman"/>
        </w:rPr>
        <w:t>loetelu</w:t>
      </w:r>
      <w:r w:rsidRPr="00A245DA">
        <w:rPr>
          <w:rFonts w:ascii="Times New Roman" w:hAnsi="Times New Roman" w:cs="Times New Roman"/>
        </w:rPr>
        <w:t xml:space="preserve">. Kuna ASTRA on kavandatud teadus- ja arendusasutuste ning kõrgkoolide strateegiliste arendusplaanide toetuseks, on abikõlblike kulude sätestamisel lähtutud põhimõttest hoida nimekiri võimalikult avatud, et võimaldada paindlikkust. </w:t>
      </w:r>
      <w:r w:rsidR="00E029EE" w:rsidRPr="00A245DA">
        <w:rPr>
          <w:rFonts w:ascii="Times New Roman" w:hAnsi="Times New Roman" w:cs="Times New Roman"/>
        </w:rPr>
        <w:t xml:space="preserve">Meetme tegevuse rakendamisel on oluline keskendumine </w:t>
      </w:r>
      <w:r w:rsidR="00E029EE" w:rsidRPr="00A245DA">
        <w:rPr>
          <w:rFonts w:ascii="Times New Roman" w:hAnsi="Times New Roman" w:cs="Times New Roman"/>
          <w:u w:val="single"/>
        </w:rPr>
        <w:t>tulemuspõhisele</w:t>
      </w:r>
      <w:r w:rsidR="00E029EE" w:rsidRPr="00A245DA">
        <w:rPr>
          <w:rFonts w:ascii="Times New Roman" w:hAnsi="Times New Roman" w:cs="Times New Roman"/>
        </w:rPr>
        <w:t xml:space="preserve">, mitte kulupõhisele lähenemisele. </w:t>
      </w:r>
      <w:r w:rsidRPr="00A245DA">
        <w:rPr>
          <w:rFonts w:ascii="Times New Roman" w:hAnsi="Times New Roman" w:cs="Times New Roman"/>
        </w:rPr>
        <w:t>Kuna investeerimisotsuseid ei tehta eraldiseisvate üksikotsustena, vaid „rätseplahendusena“ teadus- ja arendusasutuste ning kõrgkoolide institutsionaalse arendamistoetuse osana, on paindlikkuse tagamine tegevuste täpsema sisustamise ning abikõlblike kulude osas asutuste arendusplaanide elluviimisel hädavajalik.</w:t>
      </w:r>
    </w:p>
    <w:p w14:paraId="338CF201" w14:textId="77777777" w:rsidR="00467B1C" w:rsidRPr="00A245DA" w:rsidRDefault="00467B1C" w:rsidP="00467B1C">
      <w:pPr>
        <w:pStyle w:val="NoSpacing"/>
        <w:jc w:val="both"/>
        <w:rPr>
          <w:rFonts w:ascii="Times New Roman" w:hAnsi="Times New Roman" w:cs="Times New Roman"/>
        </w:rPr>
      </w:pPr>
    </w:p>
    <w:p w14:paraId="412CDB5E" w14:textId="2156ED5A" w:rsidR="00467B1C" w:rsidRPr="00A245DA" w:rsidRDefault="00467B1C" w:rsidP="00467B1C">
      <w:pPr>
        <w:pStyle w:val="NoSpacing"/>
        <w:jc w:val="both"/>
        <w:rPr>
          <w:rFonts w:ascii="Times New Roman" w:hAnsi="Times New Roman" w:cs="Times New Roman"/>
        </w:rPr>
      </w:pPr>
      <w:r w:rsidRPr="00A245DA">
        <w:rPr>
          <w:rFonts w:ascii="Times New Roman" w:hAnsi="Times New Roman" w:cs="Times New Roman"/>
        </w:rPr>
        <w:t>Abikõlblikud on järgmised kulud:</w:t>
      </w:r>
    </w:p>
    <w:p w14:paraId="70E8782B" w14:textId="4EBC25E5" w:rsidR="00467B1C" w:rsidRPr="00A245DA" w:rsidRDefault="00467B1C" w:rsidP="00C91504">
      <w:pPr>
        <w:pStyle w:val="NoSpacing"/>
        <w:numPr>
          <w:ilvl w:val="0"/>
          <w:numId w:val="20"/>
        </w:numPr>
        <w:ind w:left="426" w:hanging="426"/>
        <w:jc w:val="both"/>
        <w:rPr>
          <w:rFonts w:ascii="Times New Roman" w:hAnsi="Times New Roman" w:cs="Times New Roman"/>
        </w:rPr>
      </w:pPr>
      <w:r w:rsidRPr="00A245DA">
        <w:rPr>
          <w:rFonts w:ascii="Times New Roman" w:hAnsi="Times New Roman" w:cs="Times New Roman"/>
        </w:rPr>
        <w:t xml:space="preserve">personalikulud vastavalt ühendmääruse §-le 3, kus on loetletud, millised kulud </w:t>
      </w:r>
      <w:r w:rsidR="00E227A5" w:rsidRPr="00A245DA">
        <w:rPr>
          <w:rFonts w:ascii="Times New Roman" w:hAnsi="Times New Roman" w:cs="Times New Roman"/>
        </w:rPr>
        <w:t xml:space="preserve">ja millistel tingimustel </w:t>
      </w:r>
      <w:r w:rsidRPr="00A245DA">
        <w:rPr>
          <w:rFonts w:ascii="Times New Roman" w:hAnsi="Times New Roman" w:cs="Times New Roman"/>
        </w:rPr>
        <w:t xml:space="preserve">on personalikulude raames </w:t>
      </w:r>
      <w:r w:rsidR="00E227A5" w:rsidRPr="00A245DA">
        <w:rPr>
          <w:rFonts w:ascii="Times New Roman" w:hAnsi="Times New Roman" w:cs="Times New Roman"/>
        </w:rPr>
        <w:t>kaetavad</w:t>
      </w:r>
      <w:r w:rsidR="0030793B" w:rsidRPr="00A245DA">
        <w:rPr>
          <w:rFonts w:ascii="Times New Roman" w:hAnsi="Times New Roman" w:cs="Times New Roman"/>
        </w:rPr>
        <w:t>. Otsesed personalikulud, mille alusel hüvitatakse kaudsed kulud (vt p 3), on määratletud ühendmääruse § 9 lõikes 3</w:t>
      </w:r>
      <w:r w:rsidR="00E227A5" w:rsidRPr="00A245DA">
        <w:rPr>
          <w:rFonts w:ascii="Times New Roman" w:hAnsi="Times New Roman" w:cs="Times New Roman"/>
        </w:rPr>
        <w:t>;</w:t>
      </w:r>
    </w:p>
    <w:p w14:paraId="16427909" w14:textId="1C0E3108" w:rsidR="00041280" w:rsidRPr="00A245DA" w:rsidRDefault="008E384E" w:rsidP="00C91504">
      <w:pPr>
        <w:pStyle w:val="NoSpacing"/>
        <w:numPr>
          <w:ilvl w:val="0"/>
          <w:numId w:val="20"/>
        </w:numPr>
        <w:ind w:left="426" w:hanging="426"/>
        <w:jc w:val="both"/>
        <w:rPr>
          <w:rFonts w:ascii="Times New Roman" w:hAnsi="Times New Roman" w:cs="Times New Roman"/>
        </w:rPr>
      </w:pPr>
      <w:r w:rsidRPr="00A245DA">
        <w:rPr>
          <w:rFonts w:ascii="Times New Roman" w:hAnsi="Times New Roman" w:cs="Times New Roman"/>
        </w:rPr>
        <w:t xml:space="preserve">õppe- ja teadustöö infrastruktuuri soetamise ja kaasajastamisega seotud kulude puhul lähtutakse selle osas, mida õppe- ja teadustöö infrastruktuur võib hõlmata, määruses kasutatud vastavast definitsioonist (vt § 2 p 2). Sellest tulenevalt loetakse abikõlblikuks nt õppe- ja teadustöö infrastruktuuri ostmise, liisimise, kaasajastamise, paigalduse ja seadistamise kulud, sh projekti </w:t>
      </w:r>
      <w:r w:rsidRPr="00A245DA">
        <w:rPr>
          <w:rFonts w:ascii="Times New Roman" w:hAnsi="Times New Roman" w:cs="Times New Roman"/>
        </w:rPr>
        <w:lastRenderedPageBreak/>
        <w:t xml:space="preserve">raames soetatava või kaasajastatava õppe- ja teadustöö infrastruktuuri tööks lahutamatu osana vajaliku tehnika (laboriarvutid, digitaalkaamerad jm) ostmise, liisimise ja paigaldamise kulud ning hooldus- ja remondikulud, mis tagavad nende sihipärase funktsioneerimise ja on vajalikud garantii säilimiseks 2 aasta jooksul, arvestades garantiiperioodi kehtima hakkamise kuupäevast. Abikõlblikeks loetakse mh ka tarkvara, andmebaaside ja litsentside ostmise ja olemasolevate litsentside uuendamise kulud, teadusarhiivide ja -kollektsioonide arendamise, säilitamistingimuste tagamiseks ja teaduskasutuse tingimuste parandamiseks tehtavad kulud (sh infosüsteemide ja andmebaaside arendamise kulud), </w:t>
      </w:r>
      <w:r w:rsidR="000900C3" w:rsidRPr="00A245DA">
        <w:rPr>
          <w:rFonts w:ascii="Times New Roman" w:hAnsi="Times New Roman" w:cs="Times New Roman"/>
        </w:rPr>
        <w:t xml:space="preserve">teadus- ja õppeaparatuuri või seadmete rendikulud, </w:t>
      </w:r>
      <w:r w:rsidRPr="00A245DA">
        <w:rPr>
          <w:rFonts w:ascii="Times New Roman" w:hAnsi="Times New Roman" w:cs="Times New Roman"/>
        </w:rPr>
        <w:t>spetsialiseeritud teadusliku uurimistöö või õppe läbiviimiseks kohandatud liiklusvahendi (puurimisagregaat, hõljuk, roomikmasin, õppelaev või -lennuk jm) soetamise</w:t>
      </w:r>
      <w:r w:rsidR="000900C3" w:rsidRPr="00A245DA">
        <w:rPr>
          <w:rFonts w:ascii="Times New Roman" w:hAnsi="Times New Roman" w:cs="Times New Roman"/>
        </w:rPr>
        <w:t>,</w:t>
      </w:r>
      <w:r w:rsidRPr="00A245DA">
        <w:rPr>
          <w:rFonts w:ascii="Times New Roman" w:hAnsi="Times New Roman" w:cs="Times New Roman"/>
        </w:rPr>
        <w:t xml:space="preserve"> liisimise</w:t>
      </w:r>
      <w:r w:rsidR="000900C3" w:rsidRPr="00A245DA">
        <w:rPr>
          <w:rFonts w:ascii="Times New Roman" w:hAnsi="Times New Roman" w:cs="Times New Roman"/>
        </w:rPr>
        <w:t>- ja rendi</w:t>
      </w:r>
      <w:r w:rsidRPr="00A245DA">
        <w:rPr>
          <w:rFonts w:ascii="Times New Roman" w:hAnsi="Times New Roman" w:cs="Times New Roman"/>
        </w:rPr>
        <w:t xml:space="preserve">kulud, õppe- ja teaduslaborite rajamise ja kaasajastamisega seotud kulud, sh õppe- ja teaduslabori sisustamise ja remondi kulud juhul, kui need on otseselt seotud projektis sisalduva õppe- ja teadusaparatuuri, instrumentide ja seadmete soetamise või kaasajastamisega ja terviklahendusena teostatavad. </w:t>
      </w:r>
      <w:r w:rsidR="000900C3" w:rsidRPr="00A245DA">
        <w:rPr>
          <w:rFonts w:ascii="Times New Roman" w:hAnsi="Times New Roman" w:cs="Times New Roman"/>
        </w:rPr>
        <w:t xml:space="preserve">Liiklusvahendi kohandamisena käsitletakse liiklusvahendi muutmist või täiendamist õppe- või teadustöö vajadustele vastavaks. </w:t>
      </w:r>
      <w:r w:rsidRPr="00A245DA">
        <w:rPr>
          <w:rFonts w:ascii="Times New Roman" w:hAnsi="Times New Roman" w:cs="Times New Roman"/>
        </w:rPr>
        <w:t>Ammendavat loetelu kõikidest võimalikest kuludest ei ole siiski võimalik esitada, see sõltub konkreetsetest projektidest, mida ellu viiakse</w:t>
      </w:r>
      <w:r w:rsidR="000900C3" w:rsidRPr="00A245DA">
        <w:rPr>
          <w:rFonts w:ascii="Times New Roman" w:hAnsi="Times New Roman" w:cs="Times New Roman"/>
        </w:rPr>
        <w:t>. Abikõlblikud</w:t>
      </w:r>
      <w:r w:rsidR="006351EA" w:rsidRPr="00A245DA">
        <w:rPr>
          <w:rFonts w:ascii="Times New Roman" w:hAnsi="Times New Roman" w:cs="Times New Roman"/>
        </w:rPr>
        <w:t xml:space="preserve"> ei ole </w:t>
      </w:r>
      <w:r w:rsidR="000900C3" w:rsidRPr="00A245DA">
        <w:rPr>
          <w:rFonts w:ascii="Times New Roman" w:hAnsi="Times New Roman" w:cs="Times New Roman"/>
        </w:rPr>
        <w:t xml:space="preserve">kulud, mis on </w:t>
      </w:r>
      <w:r w:rsidR="006351EA" w:rsidRPr="00A245DA">
        <w:rPr>
          <w:rFonts w:ascii="Times New Roman" w:hAnsi="Times New Roman" w:cs="Times New Roman"/>
        </w:rPr>
        <w:t xml:space="preserve">käsitletavad projekti </w:t>
      </w:r>
      <w:r w:rsidR="0030793B" w:rsidRPr="00A245DA">
        <w:rPr>
          <w:rFonts w:ascii="Times New Roman" w:hAnsi="Times New Roman" w:cs="Times New Roman"/>
        </w:rPr>
        <w:t xml:space="preserve"> </w:t>
      </w:r>
      <w:r w:rsidR="0015594F" w:rsidRPr="00A245DA">
        <w:rPr>
          <w:rFonts w:ascii="Times New Roman" w:hAnsi="Times New Roman" w:cs="Times New Roman"/>
        </w:rPr>
        <w:t>üld</w:t>
      </w:r>
      <w:r w:rsidR="006351EA" w:rsidRPr="00A245DA">
        <w:rPr>
          <w:rFonts w:ascii="Times New Roman" w:hAnsi="Times New Roman" w:cs="Times New Roman"/>
        </w:rPr>
        <w:t xml:space="preserve">kuludena ühendmääruse </w:t>
      </w:r>
      <w:r w:rsidR="000F5831" w:rsidRPr="00A245DA">
        <w:rPr>
          <w:rFonts w:ascii="Times New Roman" w:hAnsi="Times New Roman" w:cs="Times New Roman"/>
        </w:rPr>
        <w:t>§ 9 lg 5 tähenduses</w:t>
      </w:r>
      <w:r w:rsidR="009D0C0E" w:rsidRPr="00A245DA">
        <w:rPr>
          <w:rFonts w:ascii="Times New Roman" w:hAnsi="Times New Roman" w:cs="Times New Roman"/>
        </w:rPr>
        <w:t>;</w:t>
      </w:r>
      <w:r w:rsidR="00041280" w:rsidRPr="00A245DA">
        <w:rPr>
          <w:rFonts w:ascii="Times New Roman" w:hAnsi="Times New Roman" w:cs="Times New Roman"/>
        </w:rPr>
        <w:t xml:space="preserve"> </w:t>
      </w:r>
    </w:p>
    <w:p w14:paraId="49275EC8" w14:textId="03A03C79" w:rsidR="00E227A5" w:rsidRPr="00A245DA" w:rsidRDefault="00415E93" w:rsidP="00C91504">
      <w:pPr>
        <w:pStyle w:val="NoSpacing"/>
        <w:numPr>
          <w:ilvl w:val="0"/>
          <w:numId w:val="20"/>
        </w:numPr>
        <w:ind w:left="426" w:hanging="426"/>
        <w:jc w:val="both"/>
        <w:rPr>
          <w:rFonts w:ascii="Times New Roman" w:hAnsi="Times New Roman" w:cs="Times New Roman"/>
        </w:rPr>
      </w:pPr>
      <w:r w:rsidRPr="00A245DA">
        <w:rPr>
          <w:rFonts w:ascii="Times New Roman" w:hAnsi="Times New Roman" w:cs="Times New Roman"/>
        </w:rPr>
        <w:t>k</w:t>
      </w:r>
      <w:r w:rsidR="005E587B" w:rsidRPr="00A245DA">
        <w:rPr>
          <w:rFonts w:ascii="Times New Roman" w:hAnsi="Times New Roman" w:cs="Times New Roman"/>
        </w:rPr>
        <w:t>audsed</w:t>
      </w:r>
      <w:r w:rsidRPr="00A245DA">
        <w:rPr>
          <w:rFonts w:ascii="Times New Roman" w:hAnsi="Times New Roman" w:cs="Times New Roman"/>
        </w:rPr>
        <w:t xml:space="preserve"> </w:t>
      </w:r>
      <w:r w:rsidR="009C4FB9" w:rsidRPr="00A245DA">
        <w:rPr>
          <w:rFonts w:ascii="Times New Roman" w:hAnsi="Times New Roman" w:cs="Times New Roman"/>
        </w:rPr>
        <w:t xml:space="preserve">kulud hüvitatakse lihtsustatud hüvitamisviisi alusel 15% ulatuses otsestest personalikuludest vastavalt </w:t>
      </w:r>
      <w:r w:rsidR="009C4FB9" w:rsidRPr="00A245DA">
        <w:rPr>
          <w:rFonts w:ascii="Times New Roman" w:hAnsi="Times New Roman" w:cs="Times New Roman"/>
          <w:lang w:eastAsia="et-EE"/>
        </w:rPr>
        <w:t xml:space="preserve">ühendmääruse § 9 lõigetele </w:t>
      </w:r>
      <w:r w:rsidR="007331F9" w:rsidRPr="00A245DA">
        <w:rPr>
          <w:rFonts w:ascii="Times New Roman" w:hAnsi="Times New Roman" w:cs="Times New Roman"/>
          <w:lang w:eastAsia="et-EE"/>
        </w:rPr>
        <w:t xml:space="preserve">1 ja </w:t>
      </w:r>
      <w:r w:rsidR="009C4FB9" w:rsidRPr="00A245DA">
        <w:rPr>
          <w:rFonts w:ascii="Times New Roman" w:hAnsi="Times New Roman" w:cs="Times New Roman"/>
          <w:lang w:eastAsia="et-EE"/>
        </w:rPr>
        <w:t>3</w:t>
      </w:r>
      <w:r w:rsidR="005412C6" w:rsidRPr="00A245DA">
        <w:rPr>
          <w:rFonts w:ascii="Times New Roman" w:hAnsi="Times New Roman" w:cs="Times New Roman"/>
          <w:lang w:eastAsia="et-EE"/>
        </w:rPr>
        <w:t>-6</w:t>
      </w:r>
      <w:r w:rsidR="00E227A5" w:rsidRPr="00A245DA">
        <w:rPr>
          <w:rFonts w:ascii="Times New Roman" w:hAnsi="Times New Roman" w:cs="Times New Roman"/>
        </w:rPr>
        <w:t>.</w:t>
      </w:r>
      <w:r w:rsidR="009C4FB9" w:rsidRPr="00A245DA">
        <w:rPr>
          <w:rFonts w:ascii="Times New Roman" w:hAnsi="Times New Roman" w:cs="Times New Roman"/>
        </w:rPr>
        <w:t xml:space="preserve"> Lihtsustatud hüvitamisviisi kasutamine </w:t>
      </w:r>
      <w:r w:rsidR="00736A27" w:rsidRPr="00A245DA">
        <w:rPr>
          <w:rFonts w:ascii="Times New Roman" w:hAnsi="Times New Roman" w:cs="Times New Roman"/>
        </w:rPr>
        <w:t>tähendab, et kaudseid kulusid ei hüvita</w:t>
      </w:r>
      <w:r w:rsidRPr="00A245DA">
        <w:rPr>
          <w:rFonts w:ascii="Times New Roman" w:hAnsi="Times New Roman" w:cs="Times New Roman"/>
        </w:rPr>
        <w:t>t</w:t>
      </w:r>
      <w:r w:rsidR="00736A27" w:rsidRPr="00A245DA">
        <w:rPr>
          <w:rFonts w:ascii="Times New Roman" w:hAnsi="Times New Roman" w:cs="Times New Roman"/>
        </w:rPr>
        <w:t xml:space="preserve">a kuludokumentide alusel ja sellega </w:t>
      </w:r>
      <w:r w:rsidR="009C4FB9" w:rsidRPr="00A245DA">
        <w:rPr>
          <w:rFonts w:ascii="Times New Roman" w:hAnsi="Times New Roman" w:cs="Times New Roman"/>
        </w:rPr>
        <w:t xml:space="preserve">võimaldab vähendada </w:t>
      </w:r>
      <w:r w:rsidR="00736A27" w:rsidRPr="00A245DA">
        <w:rPr>
          <w:rFonts w:ascii="Times New Roman" w:hAnsi="Times New Roman" w:cs="Times New Roman"/>
        </w:rPr>
        <w:t xml:space="preserve">ASTRA rakendamise </w:t>
      </w:r>
      <w:r w:rsidR="009C4FB9" w:rsidRPr="00A245DA">
        <w:rPr>
          <w:rFonts w:ascii="Times New Roman" w:hAnsi="Times New Roman" w:cs="Times New Roman"/>
        </w:rPr>
        <w:t>administratiivkoormust</w:t>
      </w:r>
      <w:r w:rsidR="002C4A40" w:rsidRPr="00A245DA">
        <w:rPr>
          <w:rFonts w:ascii="Times New Roman" w:hAnsi="Times New Roman" w:cs="Times New Roman"/>
        </w:rPr>
        <w:t xml:space="preserve">; </w:t>
      </w:r>
    </w:p>
    <w:p w14:paraId="7854D10A" w14:textId="5AD8063D" w:rsidR="009C4FB9" w:rsidRPr="00A245DA" w:rsidRDefault="00041280" w:rsidP="00C91504">
      <w:pPr>
        <w:pStyle w:val="NoSpacing"/>
        <w:numPr>
          <w:ilvl w:val="0"/>
          <w:numId w:val="20"/>
        </w:numPr>
        <w:ind w:left="426" w:hanging="426"/>
        <w:jc w:val="both"/>
        <w:rPr>
          <w:rFonts w:ascii="Times New Roman" w:hAnsi="Times New Roman" w:cs="Times New Roman"/>
        </w:rPr>
      </w:pPr>
      <w:r w:rsidRPr="00A245DA">
        <w:rPr>
          <w:rFonts w:ascii="Times New Roman" w:hAnsi="Times New Roman" w:cs="Times New Roman"/>
        </w:rPr>
        <w:t>projekti abikõlblike kulude puhul tekkiv erisoodustusena käsitletav kulu ja</w:t>
      </w:r>
      <w:r w:rsidR="008E384E" w:rsidRPr="00A245DA">
        <w:rPr>
          <w:rFonts w:ascii="Times New Roman" w:hAnsi="Times New Roman" w:cs="Times New Roman"/>
        </w:rPr>
        <w:t xml:space="preserve"> erisoodustuselt</w:t>
      </w:r>
      <w:r w:rsidRPr="00A245DA">
        <w:rPr>
          <w:rFonts w:ascii="Times New Roman" w:hAnsi="Times New Roman" w:cs="Times New Roman"/>
        </w:rPr>
        <w:t xml:space="preserve"> tasutav </w:t>
      </w:r>
      <w:r w:rsidR="008E384E" w:rsidRPr="00A245DA">
        <w:rPr>
          <w:rFonts w:ascii="Times New Roman" w:hAnsi="Times New Roman" w:cs="Times New Roman"/>
        </w:rPr>
        <w:t>tulu</w:t>
      </w:r>
      <w:r w:rsidRPr="00A245DA">
        <w:rPr>
          <w:rFonts w:ascii="Times New Roman" w:hAnsi="Times New Roman" w:cs="Times New Roman"/>
        </w:rPr>
        <w:t xml:space="preserve">maks </w:t>
      </w:r>
      <w:r w:rsidR="00D07948" w:rsidRPr="00A245DA">
        <w:rPr>
          <w:rFonts w:ascii="Times New Roman" w:hAnsi="Times New Roman" w:cs="Times New Roman"/>
        </w:rPr>
        <w:t>„</w:t>
      </w:r>
      <w:r w:rsidRPr="00A245DA">
        <w:rPr>
          <w:rFonts w:ascii="Times New Roman" w:hAnsi="Times New Roman" w:cs="Times New Roman"/>
        </w:rPr>
        <w:t>Tulumaksuseaduse</w:t>
      </w:r>
      <w:r w:rsidR="00D07948" w:rsidRPr="00A245DA">
        <w:rPr>
          <w:rFonts w:ascii="Times New Roman" w:hAnsi="Times New Roman" w:cs="Times New Roman"/>
        </w:rPr>
        <w:t>“</w:t>
      </w:r>
      <w:r w:rsidRPr="00A245DA">
        <w:rPr>
          <w:rFonts w:ascii="Times New Roman" w:hAnsi="Times New Roman" w:cs="Times New Roman"/>
        </w:rPr>
        <w:t xml:space="preserve"> § 48 lõike 4 tähenduses;</w:t>
      </w:r>
    </w:p>
    <w:p w14:paraId="2FEC2D7C" w14:textId="4F60FA8D" w:rsidR="007C7AF8" w:rsidRPr="00A245DA" w:rsidRDefault="007C7AF8" w:rsidP="00C91504">
      <w:pPr>
        <w:pStyle w:val="NoSpacing"/>
        <w:numPr>
          <w:ilvl w:val="0"/>
          <w:numId w:val="20"/>
        </w:numPr>
        <w:ind w:left="426" w:hanging="426"/>
        <w:jc w:val="both"/>
        <w:rPr>
          <w:rFonts w:ascii="Times New Roman" w:hAnsi="Times New Roman" w:cs="Times New Roman"/>
        </w:rPr>
      </w:pPr>
      <w:r w:rsidRPr="00A245DA">
        <w:rPr>
          <w:rFonts w:ascii="Times New Roman" w:hAnsi="Times New Roman" w:cs="Times New Roman"/>
        </w:rPr>
        <w:t xml:space="preserve">käibemaks vastavalt </w:t>
      </w:r>
      <w:r w:rsidRPr="00A245DA">
        <w:rPr>
          <w:rFonts w:ascii="Times New Roman" w:hAnsi="Times New Roman" w:cs="Times New Roman"/>
          <w:lang w:eastAsia="et-EE"/>
        </w:rPr>
        <w:t xml:space="preserve">ühendmääruse § 4 punktis 11 sätestatud piirangutele, s.t. abikõlblik on </w:t>
      </w:r>
      <w:r w:rsidRPr="00A245DA">
        <w:rPr>
          <w:rFonts w:ascii="Times New Roman" w:hAnsi="Times New Roman" w:cs="Times New Roman"/>
        </w:rPr>
        <w:t>käibemaks, mis ei ole käibemaksuseaduse alusel tagasi saadav;</w:t>
      </w:r>
    </w:p>
    <w:p w14:paraId="0F04360E" w14:textId="347F97FD" w:rsidR="00A17001" w:rsidRPr="00A245DA" w:rsidRDefault="00C16E02" w:rsidP="0086425B">
      <w:pPr>
        <w:pStyle w:val="NoSpacing"/>
        <w:numPr>
          <w:ilvl w:val="0"/>
          <w:numId w:val="20"/>
        </w:numPr>
        <w:ind w:left="426" w:hanging="426"/>
        <w:jc w:val="both"/>
        <w:rPr>
          <w:rFonts w:ascii="Times New Roman" w:hAnsi="Times New Roman" w:cs="Times New Roman"/>
        </w:rPr>
      </w:pPr>
      <w:r w:rsidRPr="00A245DA">
        <w:rPr>
          <w:rFonts w:ascii="Times New Roman" w:hAnsi="Times New Roman" w:cs="Times New Roman"/>
        </w:rPr>
        <w:t>projekti tegevuste elluviimiseks vajalike sisseostetavate teenuste kulud võivad sisaldada kulusid, mis kaasnevad nt uuringute ja analüüside, tõlketööde, trüki- ja kujundustööde, IT-lahenduste</w:t>
      </w:r>
      <w:r w:rsidR="007331F9" w:rsidRPr="00A245DA">
        <w:rPr>
          <w:rFonts w:ascii="Times New Roman" w:hAnsi="Times New Roman" w:cs="Times New Roman"/>
        </w:rPr>
        <w:t>, konverentsiteenuse</w:t>
      </w:r>
      <w:r w:rsidR="00BB545B" w:rsidRPr="00A245DA">
        <w:rPr>
          <w:rFonts w:ascii="Times New Roman" w:hAnsi="Times New Roman" w:cs="Times New Roman"/>
        </w:rPr>
        <w:t xml:space="preserve">, </w:t>
      </w:r>
      <w:r w:rsidR="00C45FDB" w:rsidRPr="00A245DA">
        <w:rPr>
          <w:rFonts w:ascii="Times New Roman" w:hAnsi="Times New Roman" w:cs="Times New Roman"/>
        </w:rPr>
        <w:t xml:space="preserve">teadlaste, õppejõudude ja </w:t>
      </w:r>
      <w:r w:rsidR="001E0FC4" w:rsidRPr="00A245DA">
        <w:rPr>
          <w:rFonts w:ascii="Times New Roman" w:hAnsi="Times New Roman" w:cs="Times New Roman"/>
        </w:rPr>
        <w:t>doktorikoolide raames toimuvate</w:t>
      </w:r>
      <w:r w:rsidR="00C45FDB" w:rsidRPr="00A245DA">
        <w:rPr>
          <w:rFonts w:ascii="Times New Roman" w:hAnsi="Times New Roman" w:cs="Times New Roman"/>
        </w:rPr>
        <w:t xml:space="preserve"> </w:t>
      </w:r>
      <w:r w:rsidR="00BB545B" w:rsidRPr="00A245DA">
        <w:rPr>
          <w:rFonts w:ascii="Times New Roman" w:hAnsi="Times New Roman" w:cs="Times New Roman"/>
        </w:rPr>
        <w:t>koolituste</w:t>
      </w:r>
      <w:r w:rsidRPr="00A245DA">
        <w:rPr>
          <w:rFonts w:ascii="Times New Roman" w:hAnsi="Times New Roman" w:cs="Times New Roman"/>
        </w:rPr>
        <w:t xml:space="preserve"> jms sisseostuga</w:t>
      </w:r>
      <w:r w:rsidR="00CF5C81" w:rsidRPr="00A245DA">
        <w:rPr>
          <w:rFonts w:ascii="Times New Roman" w:hAnsi="Times New Roman" w:cs="Times New Roman"/>
        </w:rPr>
        <w:t xml:space="preserve">. </w:t>
      </w:r>
      <w:r w:rsidR="008E384E" w:rsidRPr="00A245DA">
        <w:rPr>
          <w:rFonts w:ascii="Times New Roman" w:hAnsi="Times New Roman" w:cs="Times New Roman"/>
        </w:rPr>
        <w:t xml:space="preserve">Antud kululiigina ei käsitleta projekti üldkuludena käsitletavaid infotehnoloogia kulusid vastavalt ühendmääruse § 9 lg 3 punktis 5 sätestatule. </w:t>
      </w:r>
      <w:r w:rsidR="00CF5C81" w:rsidRPr="00A245DA">
        <w:rPr>
          <w:rFonts w:ascii="Times New Roman" w:hAnsi="Times New Roman" w:cs="Times New Roman"/>
        </w:rPr>
        <w:t>Sisseostetavad teenused tähistavad kululiigina ühisnimetajat, ammendavat loetelu kuludest, mida võidakse teha, ei ole võimalik anda</w:t>
      </w:r>
      <w:r w:rsidR="00E029EE" w:rsidRPr="00A245DA">
        <w:rPr>
          <w:rFonts w:ascii="Times New Roman" w:hAnsi="Times New Roman" w:cs="Times New Roman"/>
        </w:rPr>
        <w:t>, kuna</w:t>
      </w:r>
      <w:r w:rsidR="00CF5C81" w:rsidRPr="00A245DA">
        <w:rPr>
          <w:rFonts w:ascii="Times New Roman" w:hAnsi="Times New Roman" w:cs="Times New Roman"/>
        </w:rPr>
        <w:t xml:space="preserve"> see sõltub konkreetsetest projektidest, mida ellu viiakse</w:t>
      </w:r>
      <w:r w:rsidRPr="00A245DA">
        <w:rPr>
          <w:rFonts w:ascii="Times New Roman" w:hAnsi="Times New Roman" w:cs="Times New Roman"/>
        </w:rPr>
        <w:t>;</w:t>
      </w:r>
    </w:p>
    <w:p w14:paraId="7FE60DD0" w14:textId="3EF0B04E" w:rsidR="00A17001" w:rsidRPr="00A245DA" w:rsidRDefault="00A17001" w:rsidP="00C91504">
      <w:pPr>
        <w:pStyle w:val="NoSpacing"/>
        <w:numPr>
          <w:ilvl w:val="0"/>
          <w:numId w:val="20"/>
        </w:numPr>
        <w:ind w:left="426" w:hanging="426"/>
        <w:jc w:val="both"/>
        <w:rPr>
          <w:rFonts w:ascii="Times New Roman" w:hAnsi="Times New Roman" w:cs="Times New Roman"/>
          <w:color w:val="0070C0"/>
        </w:rPr>
      </w:pPr>
      <w:r w:rsidRPr="00A245DA">
        <w:rPr>
          <w:rFonts w:ascii="Times New Roman" w:hAnsi="Times New Roman" w:cs="Times New Roman"/>
        </w:rPr>
        <w:t>projekti elluviimisega seotud ürituste korraldamisega seotud kulud</w:t>
      </w:r>
      <w:r w:rsidR="00A07F1C" w:rsidRPr="00A245DA">
        <w:rPr>
          <w:rFonts w:ascii="Times New Roman" w:hAnsi="Times New Roman" w:cs="Times New Roman"/>
        </w:rPr>
        <w:t xml:space="preserve"> – a</w:t>
      </w:r>
      <w:r w:rsidRPr="00A245DA">
        <w:rPr>
          <w:rFonts w:ascii="Times New Roman" w:hAnsi="Times New Roman" w:cs="Times New Roman"/>
        </w:rPr>
        <w:t>bikõlblikud</w:t>
      </w:r>
      <w:r w:rsidR="00A07F1C" w:rsidRPr="00A245DA">
        <w:rPr>
          <w:rFonts w:ascii="Times New Roman" w:hAnsi="Times New Roman" w:cs="Times New Roman"/>
        </w:rPr>
        <w:t xml:space="preserve"> </w:t>
      </w:r>
      <w:r w:rsidRPr="00A245DA">
        <w:rPr>
          <w:rFonts w:ascii="Times New Roman" w:hAnsi="Times New Roman" w:cs="Times New Roman"/>
        </w:rPr>
        <w:t>on konverentside, seminaride ja muude projekti elluviimiseks vajalike ürituste läbiviimisega seonduvad kulud, sh </w:t>
      </w:r>
      <w:r w:rsidR="007331F9" w:rsidRPr="00A245DA">
        <w:rPr>
          <w:rFonts w:ascii="Times New Roman" w:hAnsi="Times New Roman" w:cs="Times New Roman"/>
        </w:rPr>
        <w:t>ma</w:t>
      </w:r>
      <w:r w:rsidRPr="00A245DA">
        <w:rPr>
          <w:rFonts w:ascii="Times New Roman" w:hAnsi="Times New Roman" w:cs="Times New Roman"/>
        </w:rPr>
        <w:t>terjalide ettevalmistamisega seotud kulud ning üritusel osalejate transpordi-, toitlustus- ja majutuskulu;</w:t>
      </w:r>
    </w:p>
    <w:p w14:paraId="356F16BE" w14:textId="6B9F1230" w:rsidR="001E0FC4" w:rsidRPr="00A245DA" w:rsidRDefault="00555CC3" w:rsidP="004C6B89">
      <w:pPr>
        <w:pStyle w:val="NoSpacing"/>
        <w:numPr>
          <w:ilvl w:val="0"/>
          <w:numId w:val="20"/>
        </w:numPr>
        <w:ind w:left="360"/>
        <w:jc w:val="both"/>
        <w:rPr>
          <w:rFonts w:ascii="Times New Roman" w:hAnsi="Times New Roman" w:cs="Times New Roman"/>
        </w:rPr>
      </w:pPr>
      <w:r w:rsidRPr="00A245DA">
        <w:rPr>
          <w:rFonts w:ascii="Times New Roman" w:hAnsi="Times New Roman" w:cs="Times New Roman"/>
        </w:rPr>
        <w:t>üliõpilaste</w:t>
      </w:r>
      <w:r w:rsidR="00A17001" w:rsidRPr="00A245DA">
        <w:rPr>
          <w:rFonts w:ascii="Times New Roman" w:hAnsi="Times New Roman" w:cs="Times New Roman"/>
        </w:rPr>
        <w:t xml:space="preserve"> välismobiilsusega kaasnevad kulud  nagu sõidukulud, majutuskulud, ürituste osavõtutasu ja päevaraha kaetakse </w:t>
      </w:r>
      <w:r w:rsidR="00FB7234" w:rsidRPr="00A245DA">
        <w:rPr>
          <w:rFonts w:ascii="Times New Roman" w:hAnsi="Times New Roman" w:cs="Times New Roman"/>
          <w:lang w:eastAsia="et-EE"/>
        </w:rPr>
        <w:t xml:space="preserve">juhul, kui kulud tekivad </w:t>
      </w:r>
      <w:r w:rsidR="00A17001" w:rsidRPr="00A245DA">
        <w:rPr>
          <w:rFonts w:ascii="Times New Roman" w:hAnsi="Times New Roman" w:cs="Times New Roman"/>
        </w:rPr>
        <w:t xml:space="preserve">doktoriõppe efektiivsuse ja </w:t>
      </w:r>
      <w:r w:rsidR="00FB7234" w:rsidRPr="00A245DA">
        <w:rPr>
          <w:rFonts w:ascii="Times New Roman" w:hAnsi="Times New Roman" w:cs="Times New Roman"/>
        </w:rPr>
        <w:t xml:space="preserve">kvaliteedi </w:t>
      </w:r>
      <w:r w:rsidR="00EC7EA2" w:rsidRPr="00A245DA">
        <w:rPr>
          <w:rFonts w:ascii="Times New Roman" w:hAnsi="Times New Roman" w:cs="Times New Roman"/>
        </w:rPr>
        <w:t xml:space="preserve">tõstmise </w:t>
      </w:r>
      <w:r w:rsidR="00FB7234" w:rsidRPr="00A245DA">
        <w:rPr>
          <w:rFonts w:ascii="Times New Roman" w:hAnsi="Times New Roman" w:cs="Times New Roman"/>
        </w:rPr>
        <w:t>tegevus</w:t>
      </w:r>
      <w:r w:rsidR="00EC7EA2" w:rsidRPr="00A245DA">
        <w:rPr>
          <w:rFonts w:ascii="Times New Roman" w:hAnsi="Times New Roman" w:cs="Times New Roman"/>
        </w:rPr>
        <w:t>paketi</w:t>
      </w:r>
      <w:r w:rsidR="00FB7234" w:rsidRPr="00A245DA">
        <w:rPr>
          <w:rFonts w:ascii="Times New Roman" w:hAnsi="Times New Roman" w:cs="Times New Roman"/>
        </w:rPr>
        <w:t xml:space="preserve"> raames (</w:t>
      </w:r>
      <w:r w:rsidR="00A17001" w:rsidRPr="00A245DA">
        <w:rPr>
          <w:rFonts w:ascii="Times New Roman" w:hAnsi="Times New Roman" w:cs="Times New Roman"/>
        </w:rPr>
        <w:t xml:space="preserve">§ 6 </w:t>
      </w:r>
      <w:r w:rsidR="00FB7234" w:rsidRPr="00A245DA">
        <w:rPr>
          <w:rFonts w:ascii="Times New Roman" w:hAnsi="Times New Roman" w:cs="Times New Roman"/>
        </w:rPr>
        <w:t>lg</w:t>
      </w:r>
      <w:r w:rsidR="00A17001" w:rsidRPr="00A245DA">
        <w:rPr>
          <w:rFonts w:ascii="Times New Roman" w:hAnsi="Times New Roman" w:cs="Times New Roman"/>
        </w:rPr>
        <w:t xml:space="preserve"> 1 p 4</w:t>
      </w:r>
      <w:r w:rsidR="00FB7234" w:rsidRPr="00A245DA">
        <w:rPr>
          <w:rFonts w:ascii="Times New Roman" w:hAnsi="Times New Roman" w:cs="Times New Roman"/>
        </w:rPr>
        <w:t>).</w:t>
      </w:r>
      <w:r w:rsidR="00A17001" w:rsidRPr="00A245DA">
        <w:rPr>
          <w:rFonts w:ascii="Times New Roman" w:hAnsi="Times New Roman" w:cs="Times New Roman"/>
        </w:rPr>
        <w:t xml:space="preserve"> </w:t>
      </w:r>
      <w:r w:rsidR="006351EA" w:rsidRPr="00A245DA">
        <w:rPr>
          <w:rFonts w:ascii="Times New Roman" w:hAnsi="Times New Roman" w:cs="Times New Roman"/>
        </w:rPr>
        <w:t>D</w:t>
      </w:r>
      <w:r w:rsidR="0006577D" w:rsidRPr="00A245DA">
        <w:rPr>
          <w:rFonts w:ascii="Times New Roman" w:hAnsi="Times New Roman" w:cs="Times New Roman"/>
        </w:rPr>
        <w:t>oktoriõppe tegevuspaketi raames tehtava välismobiilsuse päevaraha hüvita</w:t>
      </w:r>
      <w:r w:rsidR="006351EA" w:rsidRPr="00A245DA">
        <w:rPr>
          <w:rFonts w:ascii="Times New Roman" w:hAnsi="Times New Roman" w:cs="Times New Roman"/>
        </w:rPr>
        <w:t xml:space="preserve">takse </w:t>
      </w:r>
      <w:r w:rsidR="0006577D" w:rsidRPr="00A245DA">
        <w:rPr>
          <w:rFonts w:ascii="Times New Roman" w:hAnsi="Times New Roman" w:cs="Times New Roman"/>
        </w:rPr>
        <w:t xml:space="preserve"> Vabariigi Valitsuse määrusega kehtestatud teenistuslähetuse päevaraha määra</w:t>
      </w:r>
      <w:r w:rsidR="006351EA" w:rsidRPr="00A245DA">
        <w:rPr>
          <w:rFonts w:ascii="Times New Roman" w:hAnsi="Times New Roman" w:cs="Times New Roman"/>
        </w:rPr>
        <w:t>s</w:t>
      </w:r>
      <w:r w:rsidR="00312BEE" w:rsidRPr="00A245DA">
        <w:rPr>
          <w:rFonts w:ascii="Times New Roman" w:hAnsi="Times New Roman" w:cs="Times New Roman"/>
        </w:rPr>
        <w:t>. Välismobiilsuse raames tekkivad kulud hüvitatakse esialgu kuludokumentide põhiselt. Pärast kõrghariduse rahvusvahelistumise tegevuse D</w:t>
      </w:r>
      <w:r w:rsidR="00CC00D0" w:rsidRPr="00A245DA">
        <w:rPr>
          <w:rFonts w:ascii="Times New Roman" w:hAnsi="Times New Roman" w:cs="Times New Roman"/>
        </w:rPr>
        <w:t>o</w:t>
      </w:r>
      <w:r w:rsidR="008E384E" w:rsidRPr="00A245DA">
        <w:rPr>
          <w:rFonts w:ascii="Times New Roman" w:hAnsi="Times New Roman" w:cs="Times New Roman"/>
        </w:rPr>
        <w:t>Ra</w:t>
      </w:r>
      <w:r w:rsidR="00312BEE" w:rsidRPr="00A245DA">
        <w:rPr>
          <w:rFonts w:ascii="Times New Roman" w:hAnsi="Times New Roman" w:cs="Times New Roman"/>
        </w:rPr>
        <w:t>+ toetuse andmise tingimuste kinnitamist kaalutakse kinnitatud ühikuhindade kasutamist ka ASTRA raames</w:t>
      </w:r>
      <w:r w:rsidR="00CF5C81" w:rsidRPr="00A245DA">
        <w:rPr>
          <w:rFonts w:ascii="Times New Roman" w:hAnsi="Times New Roman" w:cs="Times New Roman"/>
        </w:rPr>
        <w:t>;</w:t>
      </w:r>
      <w:r w:rsidR="0006577D" w:rsidRPr="00A245DA">
        <w:rPr>
          <w:rFonts w:ascii="Times New Roman" w:hAnsi="Times New Roman" w:cs="Times New Roman"/>
        </w:rPr>
        <w:t xml:space="preserve"> </w:t>
      </w:r>
    </w:p>
    <w:p w14:paraId="6D6AA4DC" w14:textId="44403438" w:rsidR="004C6B89" w:rsidRPr="00A245DA" w:rsidRDefault="005D41CF" w:rsidP="00244FF4">
      <w:pPr>
        <w:pStyle w:val="NoSpacing"/>
        <w:numPr>
          <w:ilvl w:val="0"/>
          <w:numId w:val="20"/>
        </w:numPr>
        <w:ind w:left="426"/>
        <w:jc w:val="both"/>
        <w:rPr>
          <w:rFonts w:ascii="Times New Roman" w:hAnsi="Times New Roman" w:cs="Times New Roman"/>
        </w:rPr>
      </w:pPr>
      <w:r w:rsidRPr="00A245DA">
        <w:rPr>
          <w:rFonts w:ascii="Times New Roman" w:hAnsi="Times New Roman" w:cs="Times New Roman"/>
        </w:rPr>
        <w:t xml:space="preserve"> </w:t>
      </w:r>
      <w:r w:rsidR="004F5E33" w:rsidRPr="00A245DA">
        <w:rPr>
          <w:rFonts w:ascii="Times New Roman" w:hAnsi="Times New Roman" w:cs="Times New Roman"/>
        </w:rPr>
        <w:t>doktoriõppe efektiivsuse ja kvaliteedi suurendamisele</w:t>
      </w:r>
      <w:r w:rsidR="000E1AE9" w:rsidRPr="00A245DA">
        <w:rPr>
          <w:rFonts w:ascii="Times New Roman" w:hAnsi="Times New Roman" w:cs="Times New Roman"/>
        </w:rPr>
        <w:t xml:space="preserve"> suunatud tegevuste elluviimise </w:t>
      </w:r>
      <w:r w:rsidR="004F5E33" w:rsidRPr="00A245DA">
        <w:rPr>
          <w:rFonts w:ascii="Times New Roman" w:hAnsi="Times New Roman" w:cs="Times New Roman"/>
        </w:rPr>
        <w:t>raames (§ 6 lg 1 p 4) loetakse abikõlblikuks doktorandistipendiumi maksmine. Doktorandistipendiumi maksmisel tuleb järgida Vabariigi Valitsuse 20. detsembri 2013. a määruses nr 178 „Üliõpilaste stipendiumite liigid, suurus ja määramise üldtingimused“ sätestatud tingimusi. Määrus</w:t>
      </w:r>
      <w:r w:rsidR="006351EA" w:rsidRPr="00A245DA">
        <w:rPr>
          <w:rFonts w:ascii="Times New Roman" w:hAnsi="Times New Roman" w:cs="Times New Roman"/>
        </w:rPr>
        <w:t>e § 6 sätestab</w:t>
      </w:r>
      <w:r w:rsidR="004F5E33" w:rsidRPr="00A245DA">
        <w:rPr>
          <w:rFonts w:ascii="Times New Roman" w:hAnsi="Times New Roman" w:cs="Times New Roman"/>
        </w:rPr>
        <w:t>, et doktorandistipendiumi suurus on võrdne õppetoetuste ja õppelaenu seaduse alusel makstava doktoranditoetuse suurusega, mis kehtestatakse igaks aastaks riigieelarvega</w:t>
      </w:r>
      <w:r w:rsidRPr="00A245DA">
        <w:rPr>
          <w:rFonts w:ascii="Times New Roman" w:hAnsi="Times New Roman" w:cs="Times New Roman"/>
        </w:rPr>
        <w:t xml:space="preserve"> ja on 2015. aastal 422 eurot kuus. Doktorandistipendiumi üheks eesmärgiks on toetada doktorantide vastuvõtmist doktoriõpet toetavate meetmete raames nagu doktorantuur ülikoolide ja ettevõtete koostöös. Täpsemad stipendiumi määramise tingimused seatakse stipendiumi eraldava ülikooli poolt. Antud toetusskeemi kasutamine eeldab ettevõtete poolset koostööd doktorantide koolitamisel. </w:t>
      </w:r>
      <w:r w:rsidR="00355DC6" w:rsidRPr="00A245DA">
        <w:rPr>
          <w:rFonts w:ascii="Times New Roman" w:hAnsi="Times New Roman" w:cs="Times New Roman"/>
        </w:rPr>
        <w:t xml:space="preserve">Kuigi </w:t>
      </w:r>
      <w:r w:rsidRPr="00A245DA">
        <w:rPr>
          <w:rFonts w:ascii="Times New Roman" w:hAnsi="Times New Roman" w:cs="Times New Roman"/>
        </w:rPr>
        <w:t xml:space="preserve">doktorandistipendiumit on planeeritud maksta ka nutika spetsialiseerumise kasvuvaldkondade meetme alt, siis </w:t>
      </w:r>
      <w:r w:rsidR="00355DC6" w:rsidRPr="00A245DA">
        <w:rPr>
          <w:rFonts w:ascii="Times New Roman" w:hAnsi="Times New Roman" w:cs="Times New Roman"/>
        </w:rPr>
        <w:t xml:space="preserve">sealt </w:t>
      </w:r>
      <w:r w:rsidRPr="00A245DA">
        <w:rPr>
          <w:rFonts w:ascii="Times New Roman" w:hAnsi="Times New Roman" w:cs="Times New Roman"/>
        </w:rPr>
        <w:t xml:space="preserve">makstavate stipendiumite arv on </w:t>
      </w:r>
      <w:r w:rsidR="00355DC6" w:rsidRPr="00A245DA">
        <w:rPr>
          <w:rFonts w:ascii="Times New Roman" w:hAnsi="Times New Roman" w:cs="Times New Roman"/>
        </w:rPr>
        <w:t>piiratud (</w:t>
      </w:r>
      <w:r w:rsidRPr="00A245DA">
        <w:rPr>
          <w:rFonts w:ascii="Times New Roman" w:hAnsi="Times New Roman" w:cs="Times New Roman"/>
        </w:rPr>
        <w:t xml:space="preserve">ligikaudu 160 </w:t>
      </w:r>
      <w:r w:rsidRPr="00A245DA">
        <w:rPr>
          <w:rFonts w:ascii="Times New Roman" w:hAnsi="Times New Roman" w:cs="Times New Roman"/>
        </w:rPr>
        <w:lastRenderedPageBreak/>
        <w:t xml:space="preserve">uut vastuvõetud doktoranti 4 õppeaasta jooksul perioodil 2015-2019 </w:t>
      </w:r>
      <w:r w:rsidR="00355DC6" w:rsidRPr="00A245DA">
        <w:rPr>
          <w:rFonts w:ascii="Times New Roman" w:hAnsi="Times New Roman" w:cs="Times New Roman"/>
        </w:rPr>
        <w:t>ehk</w:t>
      </w:r>
      <w:r w:rsidRPr="00A245DA">
        <w:rPr>
          <w:rFonts w:ascii="Times New Roman" w:hAnsi="Times New Roman" w:cs="Times New Roman"/>
        </w:rPr>
        <w:t xml:space="preserve"> umbes 10% kõigist uutes</w:t>
      </w:r>
      <w:r w:rsidR="00355DC6" w:rsidRPr="00A245DA">
        <w:rPr>
          <w:rFonts w:ascii="Times New Roman" w:hAnsi="Times New Roman" w:cs="Times New Roman"/>
        </w:rPr>
        <w:t>t sisseastunutest) ja toetatakse vaid</w:t>
      </w:r>
      <w:r w:rsidR="00BD7227" w:rsidRPr="00A245DA">
        <w:rPr>
          <w:rFonts w:ascii="Times New Roman" w:hAnsi="Times New Roman" w:cs="Times New Roman"/>
        </w:rPr>
        <w:t xml:space="preserve"> doktorante, kelle doktorantuuriõpingud on seotud </w:t>
      </w:r>
      <w:r w:rsidR="00355DC6" w:rsidRPr="00A245DA">
        <w:rPr>
          <w:rFonts w:ascii="Times New Roman" w:hAnsi="Times New Roman" w:cs="Times New Roman"/>
        </w:rPr>
        <w:t>nutika spetsialiseerumise kasvuvaldkondadega.</w:t>
      </w:r>
      <w:r w:rsidRPr="00A245DA">
        <w:rPr>
          <w:rFonts w:ascii="Times New Roman" w:hAnsi="Times New Roman" w:cs="Times New Roman"/>
        </w:rPr>
        <w:t xml:space="preserve"> </w:t>
      </w:r>
      <w:r w:rsidR="00355DC6" w:rsidRPr="00A245DA">
        <w:rPr>
          <w:rFonts w:ascii="Times New Roman" w:hAnsi="Times New Roman" w:cs="Times New Roman"/>
        </w:rPr>
        <w:t>ASTRA</w:t>
      </w:r>
      <w:r w:rsidRPr="00A245DA">
        <w:rPr>
          <w:rFonts w:ascii="Times New Roman" w:hAnsi="Times New Roman" w:cs="Times New Roman"/>
        </w:rPr>
        <w:t xml:space="preserve"> kaudu võimaldatakse ülikoolidel määrata </w:t>
      </w:r>
      <w:r w:rsidR="00355DC6" w:rsidRPr="00A245DA">
        <w:rPr>
          <w:rFonts w:ascii="Times New Roman" w:hAnsi="Times New Roman" w:cs="Times New Roman"/>
        </w:rPr>
        <w:t>doktorandi</w:t>
      </w:r>
      <w:r w:rsidRPr="00A245DA">
        <w:rPr>
          <w:rFonts w:ascii="Times New Roman" w:hAnsi="Times New Roman" w:cs="Times New Roman"/>
        </w:rPr>
        <w:t>stipendiume enamatel</w:t>
      </w:r>
      <w:r w:rsidR="00355DC6" w:rsidRPr="00A245DA">
        <w:rPr>
          <w:rFonts w:ascii="Times New Roman" w:hAnsi="Times New Roman" w:cs="Times New Roman"/>
        </w:rPr>
        <w:t xml:space="preserve">e doktorantidele, et </w:t>
      </w:r>
      <w:r w:rsidRPr="00A245DA">
        <w:rPr>
          <w:rFonts w:ascii="Times New Roman" w:hAnsi="Times New Roman" w:cs="Times New Roman"/>
        </w:rPr>
        <w:t xml:space="preserve">toetada doktorantide </w:t>
      </w:r>
      <w:r w:rsidR="00355DC6" w:rsidRPr="00A245DA">
        <w:rPr>
          <w:rFonts w:ascii="Times New Roman" w:hAnsi="Times New Roman" w:cs="Times New Roman"/>
        </w:rPr>
        <w:t>ja nende</w:t>
      </w:r>
      <w:r w:rsidRPr="00A245DA">
        <w:rPr>
          <w:rFonts w:ascii="Times New Roman" w:hAnsi="Times New Roman" w:cs="Times New Roman"/>
        </w:rPr>
        <w:t xml:space="preserve"> juhendajate koostööd ettevõtlussektoriga. </w:t>
      </w:r>
      <w:r w:rsidR="00355DC6" w:rsidRPr="00A245DA">
        <w:rPr>
          <w:rFonts w:ascii="Times New Roman" w:hAnsi="Times New Roman" w:cs="Times New Roman"/>
        </w:rPr>
        <w:t>ASTRA toel on võimalik arendada ettevõt</w:t>
      </w:r>
      <w:r w:rsidR="006351EA" w:rsidRPr="00A245DA">
        <w:rPr>
          <w:rFonts w:ascii="Times New Roman" w:hAnsi="Times New Roman" w:cs="Times New Roman"/>
        </w:rPr>
        <w:t xml:space="preserve">etega </w:t>
      </w:r>
      <w:r w:rsidRPr="00A245DA">
        <w:rPr>
          <w:rFonts w:ascii="Times New Roman" w:hAnsi="Times New Roman" w:cs="Times New Roman"/>
        </w:rPr>
        <w:t xml:space="preserve">koostööd </w:t>
      </w:r>
      <w:r w:rsidR="00355DC6" w:rsidRPr="00A245DA">
        <w:rPr>
          <w:rFonts w:ascii="Times New Roman" w:hAnsi="Times New Roman" w:cs="Times New Roman"/>
        </w:rPr>
        <w:t>nutika spetsialiseerumise</w:t>
      </w:r>
      <w:r w:rsidRPr="00A245DA">
        <w:rPr>
          <w:rFonts w:ascii="Times New Roman" w:hAnsi="Times New Roman" w:cs="Times New Roman"/>
        </w:rPr>
        <w:t xml:space="preserve"> valdkondade väliselt, kuna ettevõtlusega koostööd tuleks soodustada kõigis valdkondades</w:t>
      </w:r>
      <w:r w:rsidR="00AB1AFF" w:rsidRPr="00A245DA">
        <w:rPr>
          <w:rFonts w:ascii="Times New Roman" w:hAnsi="Times New Roman" w:cs="Times New Roman"/>
        </w:rPr>
        <w:t>,</w:t>
      </w:r>
      <w:r w:rsidRPr="00A245DA">
        <w:rPr>
          <w:rFonts w:ascii="Times New Roman" w:hAnsi="Times New Roman" w:cs="Times New Roman"/>
        </w:rPr>
        <w:t xml:space="preserve"> laiendades doktorantide tulevikus tehtavaid karjäärivalikuid väljaspool akadeemilist sektorit ning soodustades teadmiste ja te</w:t>
      </w:r>
      <w:r w:rsidR="00355DC6" w:rsidRPr="00A245DA">
        <w:rPr>
          <w:rFonts w:ascii="Times New Roman" w:hAnsi="Times New Roman" w:cs="Times New Roman"/>
        </w:rPr>
        <w:t>aduspõhiste töökohtade loomist</w:t>
      </w:r>
      <w:r w:rsidR="00D815E2" w:rsidRPr="00A245DA">
        <w:rPr>
          <w:rFonts w:ascii="Times New Roman" w:hAnsi="Times New Roman" w:cs="Times New Roman"/>
        </w:rPr>
        <w:t xml:space="preserve">. </w:t>
      </w:r>
      <w:r w:rsidR="00BD7227" w:rsidRPr="00A245DA">
        <w:rPr>
          <w:rFonts w:ascii="Times New Roman" w:hAnsi="Times New Roman" w:cs="Times New Roman"/>
        </w:rPr>
        <w:t xml:space="preserve"> </w:t>
      </w:r>
      <w:r w:rsidR="00244FF4" w:rsidRPr="00A245DA">
        <w:rPr>
          <w:rFonts w:ascii="Times New Roman" w:hAnsi="Times New Roman" w:cs="Times New Roman"/>
        </w:rPr>
        <w:t>Stipendiumi makstakse kalendrikuu eest ja selle maksmine planeeritakse doktorandile terveks doktoriõppe nominaalkestuse ajaks. Doktorandil on õigus stipendiumi saada terve õpingute nominaalkestuse vältel, kui ta on läbinud atesteerimise ülikooli nõukogu kehtestatud tingimustes ja korras. Juhul, kui doktorandi uurimisteema on õppe käigus muutunud ja ei vasta enam seatud tingimustele või doktorant ei vasta muudel põhjustel stipendiumi saamise tingimustele, katkestatakse stipendiumi maksmine. Kui õpingute ajal tekib vajadus juhendaja, doktoritöö teema või kaasatud äriühingu vahetamiseks, tuleb ülikooli</w:t>
      </w:r>
      <w:r w:rsidR="002A4EF2" w:rsidRPr="00A245DA">
        <w:rPr>
          <w:rFonts w:ascii="Times New Roman" w:hAnsi="Times New Roman" w:cs="Times New Roman"/>
        </w:rPr>
        <w:t>l</w:t>
      </w:r>
      <w:r w:rsidR="00244FF4" w:rsidRPr="00A245DA">
        <w:rPr>
          <w:rFonts w:ascii="Times New Roman" w:hAnsi="Times New Roman" w:cs="Times New Roman"/>
        </w:rPr>
        <w:t xml:space="preserve"> hinnata</w:t>
      </w:r>
      <w:r w:rsidR="002A4EF2" w:rsidRPr="00A245DA">
        <w:rPr>
          <w:rFonts w:ascii="Times New Roman" w:hAnsi="Times New Roman" w:cs="Times New Roman"/>
        </w:rPr>
        <w:t xml:space="preserve">, kas muudatused </w:t>
      </w:r>
      <w:r w:rsidR="00244FF4" w:rsidRPr="00A245DA">
        <w:rPr>
          <w:rFonts w:ascii="Times New Roman" w:hAnsi="Times New Roman" w:cs="Times New Roman"/>
        </w:rPr>
        <w:t xml:space="preserve"> vasta</w:t>
      </w:r>
      <w:r w:rsidR="002A4EF2" w:rsidRPr="00A245DA">
        <w:rPr>
          <w:rFonts w:ascii="Times New Roman" w:hAnsi="Times New Roman" w:cs="Times New Roman"/>
        </w:rPr>
        <w:t>vad</w:t>
      </w:r>
      <w:r w:rsidR="00244FF4" w:rsidRPr="00A245DA">
        <w:rPr>
          <w:rFonts w:ascii="Times New Roman" w:hAnsi="Times New Roman" w:cs="Times New Roman"/>
        </w:rPr>
        <w:t xml:space="preserve"> seatud tingimustele. Kui doktorant läheb akadeemilisele puhkusele, eksmatrikuleeritakse või muutub tema õppekoormus kalendrikuu jooksul, siis arvestatakse talle stipendium antud kalendrikuu stipendiumi väljamaksmisel kehtinud tingimustel </w:t>
      </w:r>
      <w:r w:rsidR="00CC00D0" w:rsidRPr="00A245DA">
        <w:rPr>
          <w:rFonts w:ascii="Times New Roman" w:hAnsi="Times New Roman" w:cs="Times New Roman"/>
        </w:rPr>
        <w:t xml:space="preserve"> ja arvestus on päevapõhine lähtudes vastava kalendrikuu päevade arvust.</w:t>
      </w:r>
      <w:r w:rsidR="00244FF4" w:rsidRPr="00A245DA">
        <w:rPr>
          <w:rFonts w:ascii="Times New Roman" w:hAnsi="Times New Roman" w:cs="Times New Roman"/>
        </w:rPr>
        <w:t xml:space="preserve"> Kui doktorant asub õppima osakoormuses, peatatakse stipendiumi maksmine osakoormusele minemise</w:t>
      </w:r>
      <w:r w:rsidR="00CC00D0" w:rsidRPr="00A245DA">
        <w:rPr>
          <w:rFonts w:ascii="Times New Roman" w:hAnsi="Times New Roman" w:cs="Times New Roman"/>
        </w:rPr>
        <w:t xml:space="preserve"> päevast</w:t>
      </w:r>
      <w:r w:rsidR="00244FF4" w:rsidRPr="00A245DA">
        <w:rPr>
          <w:rFonts w:ascii="Times New Roman" w:hAnsi="Times New Roman" w:cs="Times New Roman"/>
        </w:rPr>
        <w:t>.</w:t>
      </w:r>
      <w:r w:rsidR="00BF3C2A" w:rsidRPr="00A245DA">
        <w:rPr>
          <w:rFonts w:ascii="Times New Roman" w:hAnsi="Times New Roman" w:cs="Times New Roman"/>
        </w:rPr>
        <w:t xml:space="preserve"> Eeltoodu </w:t>
      </w:r>
      <w:r w:rsidR="00CC00D0" w:rsidRPr="00A245DA">
        <w:rPr>
          <w:rFonts w:ascii="Times New Roman" w:hAnsi="Times New Roman" w:cs="Times New Roman"/>
        </w:rPr>
        <w:t>osakoormuse kohta</w:t>
      </w:r>
      <w:r w:rsidR="00BF3C2A" w:rsidRPr="00A245DA">
        <w:rPr>
          <w:rFonts w:ascii="Times New Roman" w:hAnsi="Times New Roman" w:cs="Times New Roman"/>
        </w:rPr>
        <w:t xml:space="preserve"> ei kehti ülikooliseaduse § 22 lõikes 10 nimetatud üliõpilaste kohta, kes täidavad õppekava akadeemilise puhkuse ajal ja kellel stipendiumite määruse § 3 lõike 4 kohaselt on õigus saada stipendiumi proportsionaalselt täidetud õppekava mahuga. </w:t>
      </w:r>
      <w:r w:rsidR="00DA0653" w:rsidRPr="00A245DA">
        <w:rPr>
          <w:rFonts w:ascii="Times New Roman" w:hAnsi="Times New Roman" w:cs="Times New Roman"/>
        </w:rPr>
        <w:t xml:space="preserve"> </w:t>
      </w:r>
      <w:r w:rsidR="00D815E2" w:rsidRPr="00A245DA">
        <w:rPr>
          <w:rFonts w:ascii="Times New Roman" w:hAnsi="Times New Roman" w:cs="Times New Roman"/>
        </w:rPr>
        <w:t>Doktorandistipendiumi makstakse praegu d</w:t>
      </w:r>
      <w:r w:rsidR="00D815E2" w:rsidRPr="00A245DA">
        <w:rPr>
          <w:rFonts w:ascii="Times New Roman" w:hAnsi="Times New Roman" w:cs="Times New Roman"/>
          <w:bCs/>
        </w:rPr>
        <w:t>oktoriõppe ja rahvusvahelistumise programmi „DoRa“  tegevus 3 raames vastuvõetud doktorantidele SA</w:t>
      </w:r>
      <w:r w:rsidR="002F213D" w:rsidRPr="00A245DA">
        <w:rPr>
          <w:rFonts w:ascii="Times New Roman" w:hAnsi="Times New Roman" w:cs="Times New Roman"/>
          <w:bCs/>
        </w:rPr>
        <w:t>-le</w:t>
      </w:r>
      <w:r w:rsidR="00D815E2" w:rsidRPr="00A245DA">
        <w:rPr>
          <w:rFonts w:ascii="Times New Roman" w:hAnsi="Times New Roman" w:cs="Times New Roman"/>
          <w:bCs/>
        </w:rPr>
        <w:t xml:space="preserve"> Archimedes eraldatava kõrgharidusstrateegia rakendamiseks suunatud </w:t>
      </w:r>
      <w:r w:rsidR="002F213D" w:rsidRPr="00A245DA">
        <w:rPr>
          <w:rFonts w:ascii="Times New Roman" w:hAnsi="Times New Roman" w:cs="Times New Roman"/>
          <w:bCs/>
        </w:rPr>
        <w:t xml:space="preserve">riigieelarveliste </w:t>
      </w:r>
      <w:r w:rsidR="00D815E2" w:rsidRPr="00A245DA">
        <w:rPr>
          <w:rFonts w:ascii="Times New Roman" w:hAnsi="Times New Roman" w:cs="Times New Roman"/>
          <w:bCs/>
        </w:rPr>
        <w:t xml:space="preserve">vahendite arvelt TAI strateegia 2007-2013 eelisarendatavates valdkondades. Samuti makstakse doktorandistipendiumit </w:t>
      </w:r>
      <w:r w:rsidR="002F213D" w:rsidRPr="00A245DA">
        <w:rPr>
          <w:rFonts w:ascii="Times New Roman" w:hAnsi="Times New Roman" w:cs="Times New Roman"/>
          <w:bCs/>
        </w:rPr>
        <w:t xml:space="preserve">IT Akadeemia õppekavadel õppivatele doktorantidele SA-le HITSA eraldatava </w:t>
      </w:r>
      <w:r w:rsidR="00FD1A03" w:rsidRPr="00A245DA">
        <w:rPr>
          <w:rFonts w:ascii="Times New Roman" w:hAnsi="Times New Roman" w:cs="Times New Roman"/>
          <w:bCs/>
        </w:rPr>
        <w:t>riigieelarvelise toetuse vahenditest</w:t>
      </w:r>
      <w:r w:rsidR="00355DC6" w:rsidRPr="00A245DA">
        <w:rPr>
          <w:rFonts w:ascii="Times New Roman" w:hAnsi="Times New Roman" w:cs="Times New Roman"/>
        </w:rPr>
        <w:t>;</w:t>
      </w:r>
    </w:p>
    <w:p w14:paraId="37E42913" w14:textId="37BEE676" w:rsidR="00686AEF" w:rsidRPr="00A245DA" w:rsidRDefault="00BB545B" w:rsidP="001165EA">
      <w:pPr>
        <w:pStyle w:val="NoSpacing"/>
        <w:ind w:left="360" w:hanging="360"/>
        <w:jc w:val="both"/>
        <w:rPr>
          <w:rFonts w:ascii="Times New Roman" w:hAnsi="Times New Roman" w:cs="Times New Roman"/>
        </w:rPr>
      </w:pPr>
      <w:r w:rsidRPr="00A245DA">
        <w:rPr>
          <w:rFonts w:ascii="Times New Roman" w:hAnsi="Times New Roman" w:cs="Times New Roman"/>
        </w:rPr>
        <w:t>1</w:t>
      </w:r>
      <w:r w:rsidR="00C375AC" w:rsidRPr="00A245DA">
        <w:rPr>
          <w:rFonts w:ascii="Times New Roman" w:hAnsi="Times New Roman" w:cs="Times New Roman"/>
        </w:rPr>
        <w:t>0</w:t>
      </w:r>
      <w:r w:rsidR="00355DC6" w:rsidRPr="00A245DA">
        <w:rPr>
          <w:rFonts w:ascii="Times New Roman" w:hAnsi="Times New Roman" w:cs="Times New Roman"/>
        </w:rPr>
        <w:t xml:space="preserve">) </w:t>
      </w:r>
      <w:r w:rsidR="003C7992" w:rsidRPr="00A245DA">
        <w:rPr>
          <w:rFonts w:ascii="Times New Roman" w:hAnsi="Times New Roman" w:cs="Times New Roman"/>
        </w:rPr>
        <w:t xml:space="preserve">teadus- ja õppehoonete </w:t>
      </w:r>
      <w:r w:rsidR="00FE0946" w:rsidRPr="00A245DA">
        <w:rPr>
          <w:rFonts w:ascii="Times New Roman" w:hAnsi="Times New Roman" w:cs="Times New Roman"/>
        </w:rPr>
        <w:t xml:space="preserve">rajamisega </w:t>
      </w:r>
      <w:r w:rsidR="003C7992" w:rsidRPr="00A245DA">
        <w:rPr>
          <w:rFonts w:ascii="Times New Roman" w:hAnsi="Times New Roman" w:cs="Times New Roman"/>
        </w:rPr>
        <w:t xml:space="preserve">kulude puhul lähtutakse selle osas, mida see võib hõlmata, määruses kasutatud vastavast definitsioonist (vt § 2 p </w:t>
      </w:r>
      <w:r w:rsidR="00CF5C81" w:rsidRPr="00A245DA">
        <w:rPr>
          <w:rFonts w:ascii="Times New Roman" w:hAnsi="Times New Roman" w:cs="Times New Roman"/>
        </w:rPr>
        <w:t>5</w:t>
      </w:r>
      <w:r w:rsidR="003C7992" w:rsidRPr="00A245DA">
        <w:rPr>
          <w:rFonts w:ascii="Times New Roman" w:hAnsi="Times New Roman" w:cs="Times New Roman"/>
        </w:rPr>
        <w:t xml:space="preserve">). Sellest tulenevalt loetakse abikõlblikuks </w:t>
      </w:r>
      <w:r w:rsidR="00686AEF" w:rsidRPr="00A245DA">
        <w:rPr>
          <w:rFonts w:ascii="Times New Roman" w:hAnsi="Times New Roman" w:cs="Times New Roman"/>
        </w:rPr>
        <w:t>mh</w:t>
      </w:r>
      <w:r w:rsidR="003C7992" w:rsidRPr="00A245DA">
        <w:rPr>
          <w:rFonts w:ascii="Times New Roman" w:hAnsi="Times New Roman" w:cs="Times New Roman"/>
        </w:rPr>
        <w:t xml:space="preserve"> </w:t>
      </w:r>
      <w:r w:rsidR="003C7992" w:rsidRPr="00A245DA">
        <w:rPr>
          <w:rFonts w:ascii="Times New Roman" w:hAnsi="Times New Roman" w:cs="Times New Roman"/>
          <w:bCs/>
        </w:rPr>
        <w:t xml:space="preserve">detailplaneeringu koostamise, ehitusuuringute (ehitusgeoloogilised ja ehitusgeodeetilised tööd) teostamise, </w:t>
      </w:r>
      <w:r w:rsidR="00AB1AFF" w:rsidRPr="00A245DA">
        <w:rPr>
          <w:rFonts w:ascii="Times New Roman" w:hAnsi="Times New Roman" w:cs="Times New Roman"/>
          <w:bCs/>
        </w:rPr>
        <w:t xml:space="preserve">ehitusprojekti koostamise, </w:t>
      </w:r>
      <w:r w:rsidR="003C7992" w:rsidRPr="00A245DA">
        <w:rPr>
          <w:rFonts w:ascii="Times New Roman" w:hAnsi="Times New Roman" w:cs="Times New Roman"/>
          <w:bCs/>
        </w:rPr>
        <w:t xml:space="preserve">tehnovõrkude väljaehitamisega (kinnistu piires kuni liitumispunktini) </w:t>
      </w:r>
      <w:r w:rsidR="00686AEF" w:rsidRPr="00A245DA">
        <w:rPr>
          <w:rFonts w:ascii="Times New Roman" w:hAnsi="Times New Roman" w:cs="Times New Roman"/>
          <w:bCs/>
        </w:rPr>
        <w:t>kaasnevad</w:t>
      </w:r>
      <w:r w:rsidR="003C7992" w:rsidRPr="00A245DA">
        <w:rPr>
          <w:rFonts w:ascii="Times New Roman" w:hAnsi="Times New Roman" w:cs="Times New Roman"/>
          <w:bCs/>
        </w:rPr>
        <w:t xml:space="preserve"> kulud, tehnosüsteemide ühendustasud, siseviimistlemise </w:t>
      </w:r>
      <w:r w:rsidR="003C7992" w:rsidRPr="00A245DA">
        <w:rPr>
          <w:rFonts w:ascii="Times New Roman" w:hAnsi="Times New Roman" w:cs="Times New Roman"/>
        </w:rPr>
        <w:t>ja tehnosüsteemide ehitami</w:t>
      </w:r>
      <w:r w:rsidR="00686AEF" w:rsidRPr="00A245DA">
        <w:rPr>
          <w:rFonts w:ascii="Times New Roman" w:hAnsi="Times New Roman" w:cs="Times New Roman"/>
        </w:rPr>
        <w:t>s</w:t>
      </w:r>
      <w:r w:rsidR="003C7992" w:rsidRPr="00A245DA">
        <w:rPr>
          <w:rFonts w:ascii="Times New Roman" w:hAnsi="Times New Roman" w:cs="Times New Roman"/>
        </w:rPr>
        <w:t>e</w:t>
      </w:r>
      <w:r w:rsidR="00686AEF" w:rsidRPr="00A245DA">
        <w:rPr>
          <w:rFonts w:ascii="Times New Roman" w:hAnsi="Times New Roman" w:cs="Times New Roman"/>
        </w:rPr>
        <w:t>ga seonduvad kulud</w:t>
      </w:r>
      <w:r w:rsidR="003C7992" w:rsidRPr="00A245DA">
        <w:rPr>
          <w:rFonts w:ascii="Times New Roman" w:hAnsi="Times New Roman" w:cs="Times New Roman"/>
        </w:rPr>
        <w:t xml:space="preserve">, </w:t>
      </w:r>
      <w:r w:rsidR="003C7992" w:rsidRPr="00A245DA">
        <w:rPr>
          <w:rFonts w:ascii="Times New Roman" w:hAnsi="Times New Roman" w:cs="Times New Roman"/>
          <w:bCs/>
        </w:rPr>
        <w:t>omanikujärelevalve</w:t>
      </w:r>
      <w:r w:rsidR="00686AEF" w:rsidRPr="00A245DA">
        <w:rPr>
          <w:rFonts w:ascii="Times New Roman" w:hAnsi="Times New Roman" w:cs="Times New Roman"/>
          <w:bCs/>
        </w:rPr>
        <w:t xml:space="preserve"> teostamisega kaasnevad kulud</w:t>
      </w:r>
      <w:r w:rsidR="003C7992" w:rsidRPr="00A245DA">
        <w:rPr>
          <w:rFonts w:ascii="Times New Roman" w:hAnsi="Times New Roman" w:cs="Times New Roman"/>
          <w:bCs/>
        </w:rPr>
        <w:t xml:space="preserve">, </w:t>
      </w:r>
      <w:r w:rsidR="00686AEF" w:rsidRPr="00A245DA">
        <w:rPr>
          <w:rFonts w:ascii="Times New Roman" w:hAnsi="Times New Roman" w:cs="Times New Roman"/>
        </w:rPr>
        <w:t>hankeprotseduuride läbiviimise ja hankedokumentatsiooni ettevalmistamise kulud</w:t>
      </w:r>
      <w:r w:rsidR="003C7992" w:rsidRPr="00A245DA">
        <w:rPr>
          <w:rFonts w:ascii="Times New Roman" w:hAnsi="Times New Roman" w:cs="Times New Roman"/>
          <w:bCs/>
        </w:rPr>
        <w:t>, hoone teenindamiseks vajalik</w:t>
      </w:r>
      <w:r w:rsidR="00EC7EA2" w:rsidRPr="00A245DA">
        <w:rPr>
          <w:rFonts w:ascii="Times New Roman" w:hAnsi="Times New Roman" w:cs="Times New Roman"/>
          <w:bCs/>
        </w:rPr>
        <w:t>u</w:t>
      </w:r>
      <w:r w:rsidR="003C7992" w:rsidRPr="00A245DA">
        <w:rPr>
          <w:rFonts w:ascii="Times New Roman" w:hAnsi="Times New Roman" w:cs="Times New Roman"/>
          <w:bCs/>
        </w:rPr>
        <w:t xml:space="preserve"> kinnistu heakorratööd</w:t>
      </w:r>
      <w:r w:rsidR="00686AEF" w:rsidRPr="00A245DA">
        <w:rPr>
          <w:rFonts w:ascii="Times New Roman" w:hAnsi="Times New Roman" w:cs="Times New Roman"/>
          <w:bCs/>
        </w:rPr>
        <w:t>e</w:t>
      </w:r>
      <w:r w:rsidR="003C7992" w:rsidRPr="00A245DA">
        <w:rPr>
          <w:rFonts w:ascii="Times New Roman" w:hAnsi="Times New Roman" w:cs="Times New Roman"/>
          <w:bCs/>
        </w:rPr>
        <w:t>, hoone kasutamiseks vajalik</w:t>
      </w:r>
      <w:r w:rsidR="00686AEF" w:rsidRPr="00A245DA">
        <w:rPr>
          <w:rFonts w:ascii="Times New Roman" w:hAnsi="Times New Roman" w:cs="Times New Roman"/>
          <w:bCs/>
        </w:rPr>
        <w:t>u</w:t>
      </w:r>
      <w:r w:rsidR="003C7992" w:rsidRPr="00A245DA">
        <w:rPr>
          <w:rFonts w:ascii="Times New Roman" w:hAnsi="Times New Roman" w:cs="Times New Roman"/>
          <w:bCs/>
        </w:rPr>
        <w:t xml:space="preserve"> mööb</w:t>
      </w:r>
      <w:r w:rsidR="00686AEF" w:rsidRPr="00A245DA">
        <w:rPr>
          <w:rFonts w:ascii="Times New Roman" w:hAnsi="Times New Roman" w:cs="Times New Roman"/>
          <w:bCs/>
        </w:rPr>
        <w:t>li ja</w:t>
      </w:r>
      <w:r w:rsidR="003C7992" w:rsidRPr="00A245DA">
        <w:rPr>
          <w:rFonts w:ascii="Times New Roman" w:hAnsi="Times New Roman" w:cs="Times New Roman"/>
          <w:bCs/>
        </w:rPr>
        <w:t xml:space="preserve"> kohtkind</w:t>
      </w:r>
      <w:r w:rsidR="00686AEF" w:rsidRPr="00A245DA">
        <w:rPr>
          <w:rFonts w:ascii="Times New Roman" w:hAnsi="Times New Roman" w:cs="Times New Roman"/>
          <w:bCs/>
        </w:rPr>
        <w:t xml:space="preserve">la </w:t>
      </w:r>
      <w:r w:rsidR="003C7992" w:rsidRPr="00A245DA">
        <w:rPr>
          <w:rFonts w:ascii="Times New Roman" w:hAnsi="Times New Roman" w:cs="Times New Roman"/>
          <w:bCs/>
        </w:rPr>
        <w:t xml:space="preserve">sisseseade (tehnika, seadmed jms) </w:t>
      </w:r>
      <w:r w:rsidR="00686AEF" w:rsidRPr="00A245DA">
        <w:rPr>
          <w:rFonts w:ascii="Times New Roman" w:hAnsi="Times New Roman" w:cs="Times New Roman"/>
          <w:bCs/>
        </w:rPr>
        <w:t>ning selle</w:t>
      </w:r>
      <w:r w:rsidR="003C7992" w:rsidRPr="00A245DA">
        <w:rPr>
          <w:rFonts w:ascii="Times New Roman" w:hAnsi="Times New Roman" w:cs="Times New Roman"/>
          <w:bCs/>
        </w:rPr>
        <w:t xml:space="preserve"> paigaldamise</w:t>
      </w:r>
      <w:r w:rsidR="00686AEF" w:rsidRPr="00A245DA">
        <w:rPr>
          <w:rFonts w:ascii="Times New Roman" w:hAnsi="Times New Roman" w:cs="Times New Roman"/>
          <w:bCs/>
        </w:rPr>
        <w:t xml:space="preserve"> kulud</w:t>
      </w:r>
      <w:r w:rsidR="00E57852" w:rsidRPr="00A245DA">
        <w:rPr>
          <w:rFonts w:ascii="Times New Roman" w:hAnsi="Times New Roman" w:cs="Times New Roman"/>
          <w:bCs/>
        </w:rPr>
        <w:t>, kolimiskulud</w:t>
      </w:r>
      <w:r w:rsidR="00686AEF" w:rsidRPr="00A245DA">
        <w:rPr>
          <w:rFonts w:ascii="Times New Roman" w:hAnsi="Times New Roman" w:cs="Times New Roman"/>
          <w:bCs/>
        </w:rPr>
        <w:t xml:space="preserve"> jms. </w:t>
      </w:r>
      <w:r w:rsidR="00686AEF" w:rsidRPr="00A245DA">
        <w:rPr>
          <w:rFonts w:ascii="Times New Roman" w:hAnsi="Times New Roman" w:cs="Times New Roman"/>
        </w:rPr>
        <w:t>Ammendavat loetelu kõikidest võimalikest kuludest ei ole siiski võimalik esitada, see sõltub konkreetsetest projektidest, mida ellu viiakse</w:t>
      </w:r>
      <w:r w:rsidR="00833ACC" w:rsidRPr="00A245DA">
        <w:rPr>
          <w:rFonts w:ascii="Times New Roman" w:hAnsi="Times New Roman" w:cs="Times New Roman"/>
        </w:rPr>
        <w:t>;</w:t>
      </w:r>
    </w:p>
    <w:p w14:paraId="3ADAE418" w14:textId="53511C06" w:rsidR="00DA0B85" w:rsidRPr="00A245DA" w:rsidRDefault="00DA0B85" w:rsidP="004C6B89">
      <w:pPr>
        <w:pStyle w:val="NoSpacing"/>
        <w:ind w:left="426" w:hanging="426"/>
        <w:jc w:val="both"/>
        <w:rPr>
          <w:rFonts w:ascii="Times New Roman" w:hAnsi="Times New Roman" w:cs="Times New Roman"/>
        </w:rPr>
      </w:pPr>
      <w:r w:rsidRPr="00A245DA">
        <w:rPr>
          <w:rFonts w:ascii="Times New Roman" w:hAnsi="Times New Roman" w:cs="Times New Roman"/>
        </w:rPr>
        <w:t>1</w:t>
      </w:r>
      <w:r w:rsidR="00A132A9" w:rsidRPr="00A245DA">
        <w:rPr>
          <w:rFonts w:ascii="Times New Roman" w:hAnsi="Times New Roman" w:cs="Times New Roman"/>
        </w:rPr>
        <w:t>1</w:t>
      </w:r>
      <w:r w:rsidRPr="00A245DA">
        <w:rPr>
          <w:rFonts w:ascii="Times New Roman" w:hAnsi="Times New Roman" w:cs="Times New Roman"/>
        </w:rPr>
        <w:t xml:space="preserve">) </w:t>
      </w:r>
      <w:r w:rsidR="00E36020" w:rsidRPr="00A245DA">
        <w:rPr>
          <w:rFonts w:ascii="Times New Roman" w:hAnsi="Times New Roman" w:cs="Times New Roman"/>
        </w:rPr>
        <w:t>t</w:t>
      </w:r>
      <w:r w:rsidRPr="00A245DA">
        <w:rPr>
          <w:rFonts w:ascii="Times New Roman" w:hAnsi="Times New Roman" w:cs="Times New Roman"/>
        </w:rPr>
        <w:t>eavitamiskulud on abikõlblikud tulenevalt toetuse saaja kohustusest teavitama avalikkust projekti tegevustest ja tulemustest, tähistama toetusest rahastatud objekte ja viitama Euroopa Liidu osalusele vastavalt viitamise nõuetele ja korrale, mis on kehtestatud Vabariigi Valitsuse 19. septembri 2014. a määrusega nr 146 „Perioodi 2014–2020 struktuuritoetuse andmisest avalikkuse teavitamise, toetusest rahastatud objektide tähistamise ning Euroopa Liidu osalusele viitamise nõuded ja kord“</w:t>
      </w:r>
      <w:r w:rsidR="00E36020" w:rsidRPr="00A245DA">
        <w:rPr>
          <w:rFonts w:ascii="Times New Roman" w:hAnsi="Times New Roman" w:cs="Times New Roman"/>
        </w:rPr>
        <w:t>;</w:t>
      </w:r>
    </w:p>
    <w:p w14:paraId="478BF7D0" w14:textId="04597FEA" w:rsidR="001D1713" w:rsidRPr="00A245DA" w:rsidRDefault="007C5E6F" w:rsidP="004C6B89">
      <w:pPr>
        <w:pStyle w:val="NoSpacing"/>
        <w:ind w:left="426" w:hanging="426"/>
        <w:jc w:val="both"/>
        <w:rPr>
          <w:rFonts w:ascii="Times New Roman" w:hAnsi="Times New Roman" w:cs="Times New Roman"/>
        </w:rPr>
      </w:pPr>
      <w:r w:rsidRPr="00A245DA">
        <w:rPr>
          <w:rFonts w:ascii="Times New Roman" w:hAnsi="Times New Roman" w:cs="Times New Roman"/>
        </w:rPr>
        <w:t>1</w:t>
      </w:r>
      <w:r w:rsidR="00A132A9" w:rsidRPr="00A245DA">
        <w:rPr>
          <w:rFonts w:ascii="Times New Roman" w:hAnsi="Times New Roman" w:cs="Times New Roman"/>
        </w:rPr>
        <w:t>2</w:t>
      </w:r>
      <w:r w:rsidRPr="00A245DA">
        <w:rPr>
          <w:rFonts w:ascii="Times New Roman" w:hAnsi="Times New Roman" w:cs="Times New Roman"/>
        </w:rPr>
        <w:t>) eraldi kululiigina on välja toodud akadeemilise personali välislähetustega seotud kulud, mis võimaldab hüvitada akadeemilise personali õpetamis</w:t>
      </w:r>
      <w:r w:rsidR="0050628F" w:rsidRPr="00A245DA">
        <w:rPr>
          <w:rFonts w:ascii="Times New Roman" w:hAnsi="Times New Roman" w:cs="Times New Roman"/>
        </w:rPr>
        <w:t>e</w:t>
      </w:r>
      <w:r w:rsidRPr="00A245DA">
        <w:rPr>
          <w:rFonts w:ascii="Times New Roman" w:hAnsi="Times New Roman" w:cs="Times New Roman"/>
        </w:rPr>
        <w:t xml:space="preserve"> või teadustöö eesmärkidel tehtavate </w:t>
      </w:r>
      <w:r w:rsidR="0050628F" w:rsidRPr="00A245DA">
        <w:rPr>
          <w:rFonts w:ascii="Times New Roman" w:hAnsi="Times New Roman" w:cs="Times New Roman"/>
        </w:rPr>
        <w:t>välis</w:t>
      </w:r>
      <w:r w:rsidRPr="00A245DA">
        <w:rPr>
          <w:rFonts w:ascii="Times New Roman" w:hAnsi="Times New Roman" w:cs="Times New Roman"/>
        </w:rPr>
        <w:t>lähetuste kulusid</w:t>
      </w:r>
      <w:r w:rsidR="00A132A9" w:rsidRPr="00A245DA">
        <w:rPr>
          <w:rFonts w:ascii="Times New Roman" w:hAnsi="Times New Roman" w:cs="Times New Roman"/>
        </w:rPr>
        <w:t xml:space="preserve"> </w:t>
      </w:r>
      <w:r w:rsidR="00337589" w:rsidRPr="00A245DA">
        <w:rPr>
          <w:rFonts w:ascii="Times New Roman" w:hAnsi="Times New Roman" w:cs="Times New Roman"/>
        </w:rPr>
        <w:t xml:space="preserve"> </w:t>
      </w:r>
      <w:r w:rsidRPr="00A245DA">
        <w:rPr>
          <w:rFonts w:ascii="Times New Roman" w:hAnsi="Times New Roman" w:cs="Times New Roman"/>
        </w:rPr>
        <w:t xml:space="preserve">(sõidu- ja majutuskulud, päevaraha, osavõtutasu). Selliste kulude hüvitamine </w:t>
      </w:r>
      <w:r w:rsidR="00337589" w:rsidRPr="00A245DA">
        <w:rPr>
          <w:rFonts w:ascii="Times New Roman" w:hAnsi="Times New Roman" w:cs="Times New Roman"/>
        </w:rPr>
        <w:t>võib olla</w:t>
      </w:r>
      <w:r w:rsidRPr="00A245DA">
        <w:rPr>
          <w:rFonts w:ascii="Times New Roman" w:hAnsi="Times New Roman" w:cs="Times New Roman"/>
        </w:rPr>
        <w:t xml:space="preserve"> vajalik eelkõige rahvusvahelistumise </w:t>
      </w:r>
      <w:r w:rsidR="00A56DEB" w:rsidRPr="00A245DA">
        <w:rPr>
          <w:rFonts w:ascii="Times New Roman" w:hAnsi="Times New Roman" w:cs="Times New Roman"/>
        </w:rPr>
        <w:t>ning õppe- ja teadustöö arendamise tegevuspaketis</w:t>
      </w:r>
      <w:r w:rsidR="0050628F" w:rsidRPr="00A245DA">
        <w:rPr>
          <w:rFonts w:ascii="Times New Roman" w:hAnsi="Times New Roman" w:cs="Times New Roman"/>
        </w:rPr>
        <w:t xml:space="preserve"> (§ 6 lg </w:t>
      </w:r>
      <w:r w:rsidR="00D13289" w:rsidRPr="00A245DA">
        <w:rPr>
          <w:rFonts w:ascii="Times New Roman" w:hAnsi="Times New Roman" w:cs="Times New Roman"/>
        </w:rPr>
        <w:t xml:space="preserve">1 punktid </w:t>
      </w:r>
      <w:r w:rsidR="0050628F" w:rsidRPr="00A245DA">
        <w:rPr>
          <w:rFonts w:ascii="Times New Roman" w:hAnsi="Times New Roman" w:cs="Times New Roman"/>
        </w:rPr>
        <w:t>3 ja 6)</w:t>
      </w:r>
      <w:r w:rsidRPr="00A245DA">
        <w:rPr>
          <w:rFonts w:ascii="Times New Roman" w:hAnsi="Times New Roman" w:cs="Times New Roman"/>
        </w:rPr>
        <w:t>, et võimaldada kõrgkoolide ja teadusasutuste akadeemilise</w:t>
      </w:r>
      <w:r w:rsidR="00A56DEB" w:rsidRPr="00A245DA">
        <w:rPr>
          <w:rFonts w:ascii="Times New Roman" w:hAnsi="Times New Roman" w:cs="Times New Roman"/>
        </w:rPr>
        <w:t>l</w:t>
      </w:r>
      <w:r w:rsidRPr="00A245DA">
        <w:rPr>
          <w:rFonts w:ascii="Times New Roman" w:hAnsi="Times New Roman" w:cs="Times New Roman"/>
        </w:rPr>
        <w:t xml:space="preserve"> personalil saada rahvusvahelist õpetamis- või teadustöö tegemise kogemust</w:t>
      </w:r>
      <w:r w:rsidR="0050628F" w:rsidRPr="00A245DA">
        <w:rPr>
          <w:rFonts w:ascii="Times New Roman" w:hAnsi="Times New Roman" w:cs="Times New Roman"/>
        </w:rPr>
        <w:t xml:space="preserve">, kuid pole välistatud ka </w:t>
      </w:r>
      <w:r w:rsidR="00D13289" w:rsidRPr="00A245DA">
        <w:rPr>
          <w:rFonts w:ascii="Times New Roman" w:hAnsi="Times New Roman" w:cs="Times New Roman"/>
        </w:rPr>
        <w:t>§ 6 lg 1 punktides 4 ja 7 nimetatud</w:t>
      </w:r>
      <w:r w:rsidR="0050628F" w:rsidRPr="00A245DA">
        <w:rPr>
          <w:rFonts w:ascii="Times New Roman" w:hAnsi="Times New Roman" w:cs="Times New Roman"/>
        </w:rPr>
        <w:t xml:space="preserve"> tegevuspakettide puhul</w:t>
      </w:r>
      <w:r w:rsidR="00A56DEB" w:rsidRPr="00A245DA">
        <w:rPr>
          <w:rFonts w:ascii="Times New Roman" w:hAnsi="Times New Roman" w:cs="Times New Roman"/>
        </w:rPr>
        <w:t>;</w:t>
      </w:r>
    </w:p>
    <w:p w14:paraId="51051095" w14:textId="36F7C6D0" w:rsidR="00686AEF" w:rsidRPr="00A245DA" w:rsidRDefault="00BB545B" w:rsidP="004C6B89">
      <w:pPr>
        <w:pStyle w:val="NoSpacing"/>
        <w:ind w:left="426" w:hanging="426"/>
        <w:jc w:val="both"/>
        <w:rPr>
          <w:rFonts w:ascii="Times New Roman" w:hAnsi="Times New Roman" w:cs="Times New Roman"/>
        </w:rPr>
      </w:pPr>
      <w:r w:rsidRPr="00A245DA">
        <w:rPr>
          <w:rFonts w:ascii="Times New Roman" w:hAnsi="Times New Roman" w:cs="Times New Roman"/>
        </w:rPr>
        <w:t>1</w:t>
      </w:r>
      <w:r w:rsidR="00A132A9" w:rsidRPr="00A245DA">
        <w:rPr>
          <w:rFonts w:ascii="Times New Roman" w:hAnsi="Times New Roman" w:cs="Times New Roman"/>
        </w:rPr>
        <w:t>3</w:t>
      </w:r>
      <w:r w:rsidR="00B81860" w:rsidRPr="00A245DA">
        <w:rPr>
          <w:rFonts w:ascii="Times New Roman" w:hAnsi="Times New Roman" w:cs="Times New Roman"/>
        </w:rPr>
        <w:t xml:space="preserve">) </w:t>
      </w:r>
      <w:r w:rsidR="00686AEF" w:rsidRPr="00A245DA">
        <w:rPr>
          <w:rFonts w:ascii="Times New Roman" w:hAnsi="Times New Roman" w:cs="Times New Roman"/>
        </w:rPr>
        <w:t>projekti raames toetatavate tegevustega võivad kaasneda ka nendega otseselt seotud ja nende elluviimiseks vajalikud muud kulud, mida ei ole võimalik kulu</w:t>
      </w:r>
      <w:r w:rsidR="00630091" w:rsidRPr="00A245DA">
        <w:rPr>
          <w:rFonts w:ascii="Times New Roman" w:hAnsi="Times New Roman" w:cs="Times New Roman"/>
        </w:rPr>
        <w:t>liikidena</w:t>
      </w:r>
      <w:r w:rsidR="00686AEF" w:rsidRPr="00A245DA">
        <w:rPr>
          <w:rFonts w:ascii="Times New Roman" w:hAnsi="Times New Roman" w:cs="Times New Roman"/>
        </w:rPr>
        <w:t xml:space="preserve"> </w:t>
      </w:r>
      <w:r w:rsidR="00630091" w:rsidRPr="00A245DA">
        <w:rPr>
          <w:rFonts w:ascii="Times New Roman" w:hAnsi="Times New Roman" w:cs="Times New Roman"/>
        </w:rPr>
        <w:t xml:space="preserve">hetkeseisuga </w:t>
      </w:r>
      <w:r w:rsidR="00686AEF" w:rsidRPr="00A245DA">
        <w:rPr>
          <w:rFonts w:ascii="Times New Roman" w:hAnsi="Times New Roman" w:cs="Times New Roman"/>
        </w:rPr>
        <w:t>nimetada</w:t>
      </w:r>
      <w:r w:rsidR="00833ACC" w:rsidRPr="00A245DA">
        <w:rPr>
          <w:rFonts w:ascii="Times New Roman" w:hAnsi="Times New Roman" w:cs="Times New Roman"/>
        </w:rPr>
        <w:t>, kuid mis on põhjendatud ja aita</w:t>
      </w:r>
      <w:r w:rsidR="00630091" w:rsidRPr="00A245DA">
        <w:rPr>
          <w:rFonts w:ascii="Times New Roman" w:hAnsi="Times New Roman" w:cs="Times New Roman"/>
        </w:rPr>
        <w:t>vad</w:t>
      </w:r>
      <w:r w:rsidR="00833ACC" w:rsidRPr="00A245DA">
        <w:rPr>
          <w:rFonts w:ascii="Times New Roman" w:hAnsi="Times New Roman" w:cs="Times New Roman"/>
        </w:rPr>
        <w:t xml:space="preserve"> kaasa projekti elluviimisele</w:t>
      </w:r>
      <w:r w:rsidR="00686AEF" w:rsidRPr="00A245DA">
        <w:rPr>
          <w:rFonts w:ascii="Times New Roman" w:hAnsi="Times New Roman" w:cs="Times New Roman"/>
        </w:rPr>
        <w:t xml:space="preserve">. </w:t>
      </w:r>
      <w:r w:rsidR="00630091" w:rsidRPr="00A245DA">
        <w:rPr>
          <w:rFonts w:ascii="Times New Roman" w:hAnsi="Times New Roman" w:cs="Times New Roman"/>
        </w:rPr>
        <w:t>Käesoleva punkti lisamine võimaldab säilitada paindlikkuse tegevuste täpsema sisustamise ning abikõlblike kulude osas, mis on asutuste arendusplaanide elluviimisel hädavajalik.</w:t>
      </w:r>
      <w:r w:rsidR="00A727B9" w:rsidRPr="00A245DA">
        <w:rPr>
          <w:rFonts w:ascii="Times New Roman" w:hAnsi="Times New Roman" w:cs="Times New Roman"/>
        </w:rPr>
        <w:t xml:space="preserve"> </w:t>
      </w:r>
      <w:r w:rsidR="00E029EE" w:rsidRPr="00A245DA">
        <w:rPr>
          <w:rFonts w:ascii="Times New Roman" w:hAnsi="Times New Roman" w:cs="Times New Roman"/>
        </w:rPr>
        <w:t xml:space="preserve">Meetme tegevuse rakendamisel on oluline keskendumine tulemuspõhisele, mitte kulupõhisele lähenemisele. </w:t>
      </w:r>
      <w:r w:rsidR="00A727B9" w:rsidRPr="00A245DA">
        <w:rPr>
          <w:rFonts w:ascii="Times New Roman" w:hAnsi="Times New Roman" w:cs="Times New Roman"/>
        </w:rPr>
        <w:t xml:space="preserve">Muid kulusid tuleb toetuse </w:t>
      </w:r>
      <w:r w:rsidR="00A727B9" w:rsidRPr="00A245DA">
        <w:rPr>
          <w:rFonts w:ascii="Times New Roman" w:hAnsi="Times New Roman" w:cs="Times New Roman"/>
        </w:rPr>
        <w:lastRenderedPageBreak/>
        <w:t xml:space="preserve">kasutajal põhjendada ning rakendusüksus kontrollib nende abikõlblikkust. Samuti järgib muude kulude tegemise võimaluse sissekirjutamine seni struktuuritoetuse meetmete õigusaktides kasutatud lähenemist. </w:t>
      </w:r>
    </w:p>
    <w:p w14:paraId="6EBF2489" w14:textId="77777777" w:rsidR="00833ACC" w:rsidRPr="00A245DA" w:rsidRDefault="00833ACC" w:rsidP="00833ACC">
      <w:pPr>
        <w:pStyle w:val="NoSpacing"/>
        <w:jc w:val="both"/>
        <w:rPr>
          <w:rFonts w:ascii="Times New Roman" w:hAnsi="Times New Roman" w:cs="Times New Roman"/>
          <w:color w:val="0070C0"/>
        </w:rPr>
      </w:pPr>
    </w:p>
    <w:p w14:paraId="3120E7EA" w14:textId="5C62B98B" w:rsidR="007276B9" w:rsidRPr="00A245DA" w:rsidRDefault="007276B9" w:rsidP="00C86550">
      <w:pPr>
        <w:pStyle w:val="NoSpacing"/>
        <w:jc w:val="both"/>
        <w:rPr>
          <w:rFonts w:ascii="Times New Roman" w:hAnsi="Times New Roman" w:cs="Times New Roman"/>
        </w:rPr>
      </w:pPr>
      <w:r w:rsidRPr="00A245DA">
        <w:rPr>
          <w:rFonts w:ascii="Times New Roman" w:hAnsi="Times New Roman" w:cs="Times New Roman"/>
        </w:rPr>
        <w:t>Lõikes 1 loetletud abikõlblikud kulud on § 6 lõikes 1 loetletud ASTRA raames toetatavate tegevus</w:t>
      </w:r>
      <w:r w:rsidR="00867B65" w:rsidRPr="00A245DA">
        <w:rPr>
          <w:rFonts w:ascii="Times New Roman" w:hAnsi="Times New Roman" w:cs="Times New Roman"/>
        </w:rPr>
        <w:t>te</w:t>
      </w:r>
      <w:r w:rsidRPr="00A245DA">
        <w:rPr>
          <w:rFonts w:ascii="Times New Roman" w:hAnsi="Times New Roman" w:cs="Times New Roman"/>
        </w:rPr>
        <w:t xml:space="preserve"> mõttes läbivad, </w:t>
      </w:r>
      <w:r w:rsidR="009623B3" w:rsidRPr="00A245DA">
        <w:rPr>
          <w:rFonts w:ascii="Times New Roman" w:hAnsi="Times New Roman" w:cs="Times New Roman"/>
        </w:rPr>
        <w:t>s.t. neid võib teha erinevate tegevuspakettide raames. Erandiks on</w:t>
      </w:r>
      <w:r w:rsidRPr="00A245DA">
        <w:rPr>
          <w:rFonts w:ascii="Times New Roman" w:hAnsi="Times New Roman" w:cs="Times New Roman"/>
        </w:rPr>
        <w:t xml:space="preserve"> punkti</w:t>
      </w:r>
      <w:r w:rsidR="009623B3" w:rsidRPr="00A245DA">
        <w:rPr>
          <w:rFonts w:ascii="Times New Roman" w:hAnsi="Times New Roman" w:cs="Times New Roman"/>
        </w:rPr>
        <w:t xml:space="preserve">des </w:t>
      </w:r>
      <w:r w:rsidR="0030793B" w:rsidRPr="00A245DA">
        <w:rPr>
          <w:rFonts w:ascii="Times New Roman" w:hAnsi="Times New Roman" w:cs="Times New Roman"/>
        </w:rPr>
        <w:t>8-9</w:t>
      </w:r>
      <w:r w:rsidRPr="00A245DA">
        <w:rPr>
          <w:rFonts w:ascii="Times New Roman" w:hAnsi="Times New Roman" w:cs="Times New Roman"/>
        </w:rPr>
        <w:t xml:space="preserve"> nimetatud</w:t>
      </w:r>
      <w:r w:rsidR="00B24FC8" w:rsidRPr="00A245DA">
        <w:rPr>
          <w:rFonts w:ascii="Times New Roman" w:hAnsi="Times New Roman" w:cs="Times New Roman"/>
        </w:rPr>
        <w:t xml:space="preserve"> kulud, mida võib teha ainult</w:t>
      </w:r>
      <w:r w:rsidRPr="00A245DA">
        <w:rPr>
          <w:rFonts w:ascii="Times New Roman" w:hAnsi="Times New Roman" w:cs="Times New Roman"/>
        </w:rPr>
        <w:t xml:space="preserve"> doktoriõppe </w:t>
      </w:r>
      <w:r w:rsidR="009623B3" w:rsidRPr="00A245DA">
        <w:rPr>
          <w:rFonts w:ascii="Times New Roman" w:hAnsi="Times New Roman" w:cs="Times New Roman"/>
        </w:rPr>
        <w:t xml:space="preserve">kvaliteedi ja efektiivsuse suurendamise </w:t>
      </w:r>
      <w:r w:rsidRPr="00A245DA">
        <w:rPr>
          <w:rFonts w:ascii="Times New Roman" w:hAnsi="Times New Roman" w:cs="Times New Roman"/>
        </w:rPr>
        <w:t>tegevuspaketi</w:t>
      </w:r>
      <w:r w:rsidR="009623B3" w:rsidRPr="00A245DA">
        <w:rPr>
          <w:rFonts w:ascii="Times New Roman" w:hAnsi="Times New Roman" w:cs="Times New Roman"/>
        </w:rPr>
        <w:t>s</w:t>
      </w:r>
      <w:r w:rsidR="00B24FC8" w:rsidRPr="00A245DA">
        <w:rPr>
          <w:rFonts w:ascii="Times New Roman" w:hAnsi="Times New Roman" w:cs="Times New Roman"/>
        </w:rPr>
        <w:t>,</w:t>
      </w:r>
      <w:r w:rsidRPr="00A245DA">
        <w:rPr>
          <w:rFonts w:ascii="Times New Roman" w:hAnsi="Times New Roman" w:cs="Times New Roman"/>
        </w:rPr>
        <w:t xml:space="preserve"> </w:t>
      </w:r>
      <w:r w:rsidR="009623B3" w:rsidRPr="00A245DA">
        <w:rPr>
          <w:rFonts w:ascii="Times New Roman" w:hAnsi="Times New Roman" w:cs="Times New Roman"/>
        </w:rPr>
        <w:t xml:space="preserve">ja punktis </w:t>
      </w:r>
      <w:r w:rsidR="0030793B" w:rsidRPr="00A245DA">
        <w:rPr>
          <w:rFonts w:ascii="Times New Roman" w:hAnsi="Times New Roman" w:cs="Times New Roman"/>
        </w:rPr>
        <w:t>1</w:t>
      </w:r>
      <w:r w:rsidR="00A132A9" w:rsidRPr="00A245DA">
        <w:rPr>
          <w:rFonts w:ascii="Times New Roman" w:hAnsi="Times New Roman" w:cs="Times New Roman"/>
        </w:rPr>
        <w:t>0</w:t>
      </w:r>
      <w:r w:rsidR="009623B3" w:rsidRPr="00A245DA">
        <w:rPr>
          <w:rFonts w:ascii="Times New Roman" w:hAnsi="Times New Roman" w:cs="Times New Roman"/>
        </w:rPr>
        <w:t xml:space="preserve"> nimetatud </w:t>
      </w:r>
      <w:r w:rsidR="00B24FC8" w:rsidRPr="00A245DA">
        <w:rPr>
          <w:rFonts w:ascii="Times New Roman" w:hAnsi="Times New Roman" w:cs="Times New Roman"/>
        </w:rPr>
        <w:t xml:space="preserve">kulud, mis on abikõlblikud vaid </w:t>
      </w:r>
      <w:r w:rsidR="009623B3" w:rsidRPr="00A245DA">
        <w:rPr>
          <w:rFonts w:ascii="Times New Roman" w:hAnsi="Times New Roman" w:cs="Times New Roman"/>
        </w:rPr>
        <w:t>teadus- ja õppehoonete rajamise tegevuspaketi</w:t>
      </w:r>
      <w:r w:rsidR="00B24FC8" w:rsidRPr="00A245DA">
        <w:rPr>
          <w:rFonts w:ascii="Times New Roman" w:hAnsi="Times New Roman" w:cs="Times New Roman"/>
        </w:rPr>
        <w:t>s</w:t>
      </w:r>
      <w:r w:rsidR="009623B3" w:rsidRPr="00A245DA">
        <w:rPr>
          <w:rFonts w:ascii="Times New Roman" w:hAnsi="Times New Roman" w:cs="Times New Roman"/>
        </w:rPr>
        <w:t xml:space="preserve">. </w:t>
      </w:r>
    </w:p>
    <w:p w14:paraId="3888AE02" w14:textId="5274F3D2" w:rsidR="00952FD1" w:rsidRPr="00A245DA" w:rsidRDefault="006C6D47" w:rsidP="00735042">
      <w:pPr>
        <w:pStyle w:val="NoSpacing"/>
        <w:jc w:val="both"/>
        <w:rPr>
          <w:rFonts w:ascii="Times New Roman" w:hAnsi="Times New Roman" w:cs="Times New Roman"/>
        </w:rPr>
      </w:pPr>
      <w:r w:rsidRPr="00A245DA">
        <w:rPr>
          <w:rFonts w:ascii="Times New Roman" w:hAnsi="Times New Roman" w:cs="Times New Roman"/>
        </w:rPr>
        <w:t>Lõike 2</w:t>
      </w:r>
      <w:r w:rsidR="00952FD1" w:rsidRPr="00A245DA">
        <w:rPr>
          <w:rFonts w:ascii="Times New Roman" w:hAnsi="Times New Roman" w:cs="Times New Roman"/>
        </w:rPr>
        <w:t xml:space="preserve"> </w:t>
      </w:r>
      <w:r w:rsidRPr="00A245DA">
        <w:rPr>
          <w:rFonts w:ascii="Times New Roman" w:hAnsi="Times New Roman" w:cs="Times New Roman"/>
        </w:rPr>
        <w:t xml:space="preserve">puhul on tegemist erisättega, mis puudutab abikõlblike kulude hüvitamist </w:t>
      </w:r>
      <w:r w:rsidR="00952FD1" w:rsidRPr="00A245DA">
        <w:rPr>
          <w:rFonts w:ascii="Times New Roman" w:hAnsi="Times New Roman" w:cs="Times New Roman"/>
        </w:rPr>
        <w:t>riigiabi andmise korral. Üldise grupierandi määruse artikli 26 kohaselt on abikõlblikud vaid materiaalsesse ja immateriaalsesse varasse tehtud investeeringute kulud. Materiaalne vara on defineeritud üldise grupierandi määruse art 2 punktis 29: „materiaalne vara” — maast, hoonetest ja tootmisrajatistest, masinatest ja seadmetest koosnev vara. Immateriaalne vara on defineeritud sama määruse punktis 30:  „immateriaalne vara” — vara, millel ei ole füüsilist või rahalist kehastust, näiteks patendid, litsentsid, oskusteave või muu intellektuaalomand. Sellest tulenevalt</w:t>
      </w:r>
      <w:r w:rsidR="003B4F07" w:rsidRPr="00A245DA">
        <w:rPr>
          <w:rFonts w:ascii="Times New Roman" w:hAnsi="Times New Roman" w:cs="Times New Roman"/>
        </w:rPr>
        <w:t xml:space="preserve"> tuleb kulude </w:t>
      </w:r>
      <w:r w:rsidR="00986DDE" w:rsidRPr="00A245DA">
        <w:rPr>
          <w:rFonts w:ascii="Times New Roman" w:hAnsi="Times New Roman" w:cs="Times New Roman"/>
        </w:rPr>
        <w:t>abikõlblikkust hinnata vastavalt</w:t>
      </w:r>
      <w:r w:rsidR="00BC1265" w:rsidRPr="00A245DA">
        <w:rPr>
          <w:rFonts w:ascii="Times New Roman" w:hAnsi="Times New Roman" w:cs="Times New Roman"/>
        </w:rPr>
        <w:t xml:space="preserve"> eelnimetatud </w:t>
      </w:r>
      <w:r w:rsidR="00986DDE" w:rsidRPr="00A245DA">
        <w:rPr>
          <w:rFonts w:ascii="Times New Roman" w:hAnsi="Times New Roman" w:cs="Times New Roman"/>
        </w:rPr>
        <w:t>definitsioonidele</w:t>
      </w:r>
      <w:r w:rsidR="00BC1265" w:rsidRPr="00A245DA">
        <w:rPr>
          <w:rFonts w:ascii="Times New Roman" w:hAnsi="Times New Roman" w:cs="Times New Roman"/>
        </w:rPr>
        <w:t>.</w:t>
      </w:r>
      <w:r w:rsidR="00033627" w:rsidRPr="00A245DA">
        <w:rPr>
          <w:rFonts w:ascii="Times New Roman" w:hAnsi="Times New Roman" w:cs="Times New Roman"/>
        </w:rPr>
        <w:t xml:space="preserve"> ASTRA määruse </w:t>
      </w:r>
      <w:r w:rsidR="00F73705" w:rsidRPr="00A245DA">
        <w:rPr>
          <w:rFonts w:ascii="Times New Roman" w:hAnsi="Times New Roman" w:cs="Times New Roman"/>
        </w:rPr>
        <w:t xml:space="preserve">§ 6 lõike 1 punktide 1, 5 ja 7 tegevuste </w:t>
      </w:r>
      <w:r w:rsidR="00033627" w:rsidRPr="00A245DA">
        <w:rPr>
          <w:rFonts w:ascii="Times New Roman" w:hAnsi="Times New Roman" w:cs="Times New Roman"/>
        </w:rPr>
        <w:t xml:space="preserve">kontekstis võib näidiseks tuua järgmised abikõlblikud kulud: </w:t>
      </w:r>
      <w:r w:rsidR="00BC1265" w:rsidRPr="00A245DA">
        <w:rPr>
          <w:rFonts w:ascii="Times New Roman" w:hAnsi="Times New Roman" w:cs="Times New Roman"/>
        </w:rPr>
        <w:t xml:space="preserve"> </w:t>
      </w:r>
      <w:r w:rsidR="001A411E" w:rsidRPr="00A245DA">
        <w:rPr>
          <w:rFonts w:ascii="Times New Roman" w:hAnsi="Times New Roman" w:cs="Times New Roman"/>
        </w:rPr>
        <w:t>s</w:t>
      </w:r>
      <w:r w:rsidR="00D83D8D" w:rsidRPr="00A245DA">
        <w:rPr>
          <w:rFonts w:ascii="Times New Roman" w:hAnsi="Times New Roman" w:cs="Times New Roman"/>
        </w:rPr>
        <w:t>eadmete</w:t>
      </w:r>
      <w:r w:rsidR="001A411E" w:rsidRPr="00A245DA">
        <w:rPr>
          <w:rFonts w:ascii="Times New Roman" w:hAnsi="Times New Roman" w:cs="Times New Roman"/>
        </w:rPr>
        <w:t xml:space="preserve"> ja aparatuur</w:t>
      </w:r>
      <w:r w:rsidR="00D83D8D" w:rsidRPr="00A245DA">
        <w:rPr>
          <w:rFonts w:ascii="Times New Roman" w:hAnsi="Times New Roman" w:cs="Times New Roman"/>
        </w:rPr>
        <w:t>i ost</w:t>
      </w:r>
      <w:r w:rsidR="00F73705" w:rsidRPr="00A245DA">
        <w:rPr>
          <w:rFonts w:ascii="Times New Roman" w:hAnsi="Times New Roman" w:cs="Times New Roman"/>
        </w:rPr>
        <w:t>;</w:t>
      </w:r>
      <w:r w:rsidR="00D83D8D" w:rsidRPr="00A245DA">
        <w:rPr>
          <w:rFonts w:ascii="Times New Roman" w:hAnsi="Times New Roman" w:cs="Times New Roman"/>
        </w:rPr>
        <w:t xml:space="preserve"> konkreetse investeeringuga seotud immateriaalse vara kulu (nt litsents)</w:t>
      </w:r>
      <w:r w:rsidR="00F73705" w:rsidRPr="00A245DA">
        <w:rPr>
          <w:rFonts w:ascii="Times New Roman" w:hAnsi="Times New Roman" w:cs="Times New Roman"/>
        </w:rPr>
        <w:t>;</w:t>
      </w:r>
      <w:r w:rsidR="009C60B1" w:rsidRPr="00A245DA">
        <w:rPr>
          <w:rFonts w:ascii="Times New Roman" w:hAnsi="Times New Roman" w:cs="Times New Roman"/>
        </w:rPr>
        <w:t xml:space="preserve"> õppe- ja teadustöö infrastruktuuri soetamise ja kaasajastamisega seotud kulud, sh teadus- ja õppeaparatuuri, tarkvara, andmebaaside</w:t>
      </w:r>
      <w:r w:rsidR="00F73705" w:rsidRPr="00A245DA">
        <w:rPr>
          <w:rFonts w:ascii="Times New Roman" w:hAnsi="Times New Roman" w:cs="Times New Roman"/>
        </w:rPr>
        <w:t xml:space="preserve"> ja litsentside soetamise kulud;</w:t>
      </w:r>
      <w:r w:rsidR="009C60B1" w:rsidRPr="00A245DA">
        <w:rPr>
          <w:rFonts w:ascii="Times New Roman" w:hAnsi="Times New Roman" w:cs="Times New Roman"/>
        </w:rPr>
        <w:t xml:space="preserve"> </w:t>
      </w:r>
      <w:r w:rsidR="00E87D0F" w:rsidRPr="00A245DA">
        <w:rPr>
          <w:rFonts w:ascii="Times New Roman" w:hAnsi="Times New Roman" w:cs="Times New Roman"/>
        </w:rPr>
        <w:t xml:space="preserve">teadus- ja õppehoonete rajamise kulud, sh ehitusprojekti koostamise, tehnovõrkude väljaehitamise, tehnosüsteemide ehitamise, siseviimistlemise, sisustamise </w:t>
      </w:r>
      <w:r w:rsidR="00F73705" w:rsidRPr="00A245DA">
        <w:rPr>
          <w:rFonts w:ascii="Times New Roman" w:hAnsi="Times New Roman" w:cs="Times New Roman"/>
        </w:rPr>
        <w:t>kulud</w:t>
      </w:r>
      <w:r w:rsidR="00334306" w:rsidRPr="00A245DA">
        <w:rPr>
          <w:rFonts w:ascii="Times New Roman" w:hAnsi="Times New Roman" w:cs="Times New Roman"/>
        </w:rPr>
        <w:t xml:space="preserve"> jt. </w:t>
      </w:r>
    </w:p>
    <w:p w14:paraId="6E1A95D7" w14:textId="77777777" w:rsidR="009623B3" w:rsidRPr="00A245DA" w:rsidRDefault="009623B3" w:rsidP="00C86550">
      <w:pPr>
        <w:pStyle w:val="NoSpacing"/>
        <w:jc w:val="both"/>
        <w:rPr>
          <w:rFonts w:ascii="Times New Roman" w:hAnsi="Times New Roman" w:cs="Times New Roman"/>
          <w:u w:val="single"/>
        </w:rPr>
      </w:pPr>
    </w:p>
    <w:p w14:paraId="038F0D81" w14:textId="3AAB5545" w:rsidR="00615C7D" w:rsidRPr="00A245DA" w:rsidRDefault="00833ACC" w:rsidP="00C86550">
      <w:pPr>
        <w:pStyle w:val="NoSpacing"/>
        <w:jc w:val="both"/>
        <w:rPr>
          <w:rFonts w:ascii="Times New Roman" w:hAnsi="Times New Roman" w:cs="Times New Roman"/>
        </w:rPr>
      </w:pPr>
      <w:r w:rsidRPr="00A245DA">
        <w:rPr>
          <w:rFonts w:ascii="Times New Roman" w:hAnsi="Times New Roman" w:cs="Times New Roman"/>
          <w:u w:val="single"/>
        </w:rPr>
        <w:t xml:space="preserve">Lõike </w:t>
      </w:r>
      <w:r w:rsidR="00952FD1" w:rsidRPr="00A245DA">
        <w:rPr>
          <w:rFonts w:ascii="Times New Roman" w:hAnsi="Times New Roman" w:cs="Times New Roman"/>
          <w:u w:val="single"/>
        </w:rPr>
        <w:t>3</w:t>
      </w:r>
      <w:r w:rsidRPr="00A245DA">
        <w:rPr>
          <w:rFonts w:ascii="Times New Roman" w:hAnsi="Times New Roman" w:cs="Times New Roman"/>
          <w:u w:val="single"/>
        </w:rPr>
        <w:t xml:space="preserve"> punktides 1-</w:t>
      </w:r>
      <w:r w:rsidR="0030793B" w:rsidRPr="00A245DA">
        <w:rPr>
          <w:rFonts w:ascii="Times New Roman" w:hAnsi="Times New Roman" w:cs="Times New Roman"/>
          <w:u w:val="single"/>
        </w:rPr>
        <w:t>10</w:t>
      </w:r>
      <w:r w:rsidRPr="00A245DA">
        <w:rPr>
          <w:rFonts w:ascii="Times New Roman" w:hAnsi="Times New Roman" w:cs="Times New Roman"/>
        </w:rPr>
        <w:t xml:space="preserve"> on toodud mitteabikõlblike kulude loetelu</w:t>
      </w:r>
      <w:r w:rsidR="007164CF" w:rsidRPr="00A245DA">
        <w:rPr>
          <w:rFonts w:ascii="Times New Roman" w:hAnsi="Times New Roman" w:cs="Times New Roman"/>
        </w:rPr>
        <w:t>, mis lisandub ühendmääruse § 4 loetletud mitteabikõlblikele kuludele</w:t>
      </w:r>
      <w:r w:rsidR="007454A1" w:rsidRPr="00A245DA">
        <w:rPr>
          <w:rFonts w:ascii="Times New Roman" w:hAnsi="Times New Roman" w:cs="Times New Roman"/>
        </w:rPr>
        <w:t xml:space="preserve">. </w:t>
      </w:r>
      <w:r w:rsidRPr="00A245DA">
        <w:rPr>
          <w:rFonts w:ascii="Times New Roman" w:hAnsi="Times New Roman" w:cs="Times New Roman"/>
        </w:rPr>
        <w:t xml:space="preserve">ASTRA </w:t>
      </w:r>
      <w:r w:rsidR="007454A1" w:rsidRPr="00A245DA">
        <w:rPr>
          <w:rFonts w:ascii="Times New Roman" w:hAnsi="Times New Roman" w:cs="Times New Roman"/>
        </w:rPr>
        <w:t>on suunatud</w:t>
      </w:r>
      <w:r w:rsidRPr="00A245DA">
        <w:rPr>
          <w:rFonts w:ascii="Times New Roman" w:hAnsi="Times New Roman" w:cs="Times New Roman"/>
        </w:rPr>
        <w:t xml:space="preserve"> </w:t>
      </w:r>
      <w:r w:rsidR="007454A1" w:rsidRPr="00A245DA">
        <w:rPr>
          <w:rFonts w:ascii="Times New Roman" w:hAnsi="Times New Roman" w:cs="Times New Roman"/>
        </w:rPr>
        <w:t xml:space="preserve">teadus- ja arendusasutuste ja kõrgkoolide </w:t>
      </w:r>
      <w:r w:rsidRPr="00A245DA">
        <w:rPr>
          <w:rFonts w:ascii="Times New Roman" w:hAnsi="Times New Roman" w:cs="Times New Roman"/>
        </w:rPr>
        <w:t>struktuurse</w:t>
      </w:r>
      <w:r w:rsidR="007454A1" w:rsidRPr="00A245DA">
        <w:rPr>
          <w:rFonts w:ascii="Times New Roman" w:hAnsi="Times New Roman" w:cs="Times New Roman"/>
        </w:rPr>
        <w:t xml:space="preserve">te </w:t>
      </w:r>
      <w:r w:rsidRPr="00A245DA">
        <w:rPr>
          <w:rFonts w:ascii="Times New Roman" w:hAnsi="Times New Roman" w:cs="Times New Roman"/>
        </w:rPr>
        <w:t>muudatus</w:t>
      </w:r>
      <w:r w:rsidR="007454A1" w:rsidRPr="00A245DA">
        <w:rPr>
          <w:rFonts w:ascii="Times New Roman" w:hAnsi="Times New Roman" w:cs="Times New Roman"/>
        </w:rPr>
        <w:t>te</w:t>
      </w:r>
      <w:r w:rsidRPr="00A245DA">
        <w:rPr>
          <w:rFonts w:ascii="Times New Roman" w:hAnsi="Times New Roman" w:cs="Times New Roman"/>
        </w:rPr>
        <w:t xml:space="preserve"> ja arenguhüp</w:t>
      </w:r>
      <w:r w:rsidR="007454A1" w:rsidRPr="00A245DA">
        <w:rPr>
          <w:rFonts w:ascii="Times New Roman" w:hAnsi="Times New Roman" w:cs="Times New Roman"/>
        </w:rPr>
        <w:t>pe toetamisele</w:t>
      </w:r>
      <w:r w:rsidRPr="00A245DA">
        <w:rPr>
          <w:rFonts w:ascii="Times New Roman" w:hAnsi="Times New Roman" w:cs="Times New Roman"/>
        </w:rPr>
        <w:t xml:space="preserve">, </w:t>
      </w:r>
      <w:r w:rsidR="000A44D7" w:rsidRPr="00A245DA">
        <w:rPr>
          <w:rFonts w:ascii="Times New Roman" w:hAnsi="Times New Roman" w:cs="Times New Roman"/>
        </w:rPr>
        <w:t>millest tulenevalt ei</w:t>
      </w:r>
      <w:r w:rsidR="007454A1" w:rsidRPr="00A245DA">
        <w:rPr>
          <w:rFonts w:ascii="Times New Roman" w:hAnsi="Times New Roman" w:cs="Times New Roman"/>
        </w:rPr>
        <w:t xml:space="preserve"> kaeta</w:t>
      </w:r>
      <w:r w:rsidR="000A44D7" w:rsidRPr="00A245DA">
        <w:rPr>
          <w:rFonts w:ascii="Times New Roman" w:hAnsi="Times New Roman" w:cs="Times New Roman"/>
        </w:rPr>
        <w:t xml:space="preserve"> </w:t>
      </w:r>
      <w:r w:rsidRPr="00A245DA">
        <w:rPr>
          <w:rFonts w:ascii="Times New Roman" w:hAnsi="Times New Roman" w:cs="Times New Roman"/>
        </w:rPr>
        <w:t>amortisatsiooni</w:t>
      </w:r>
      <w:r w:rsidR="00C3039E" w:rsidRPr="00A245DA">
        <w:rPr>
          <w:rFonts w:ascii="Times New Roman" w:hAnsi="Times New Roman" w:cs="Times New Roman"/>
        </w:rPr>
        <w:t>kulusid</w:t>
      </w:r>
      <w:r w:rsidR="007454A1" w:rsidRPr="00A245DA">
        <w:rPr>
          <w:rFonts w:ascii="Times New Roman" w:hAnsi="Times New Roman" w:cs="Times New Roman"/>
        </w:rPr>
        <w:t xml:space="preserve"> ega </w:t>
      </w:r>
      <w:r w:rsidRPr="00A245DA">
        <w:rPr>
          <w:rFonts w:ascii="Times New Roman" w:hAnsi="Times New Roman" w:cs="Times New Roman"/>
        </w:rPr>
        <w:t>olemasoleva õppe- ja teadustöö infrastruktuuri ja hoonete jooksva või regulaarse käigushoidmise, korrashoiu ja remondikulu</w:t>
      </w:r>
      <w:r w:rsidR="007454A1" w:rsidRPr="00A245DA">
        <w:rPr>
          <w:rFonts w:ascii="Times New Roman" w:hAnsi="Times New Roman" w:cs="Times New Roman"/>
        </w:rPr>
        <w:t>si</w:t>
      </w:r>
      <w:r w:rsidRPr="00A245DA">
        <w:rPr>
          <w:rFonts w:ascii="Times New Roman" w:hAnsi="Times New Roman" w:cs="Times New Roman"/>
        </w:rPr>
        <w:t>d</w:t>
      </w:r>
      <w:r w:rsidR="007454A1" w:rsidRPr="00A245DA">
        <w:rPr>
          <w:rFonts w:ascii="Times New Roman" w:hAnsi="Times New Roman" w:cs="Times New Roman"/>
        </w:rPr>
        <w:t xml:space="preserve">. Ei toetata liiklusvahendite ostu, rentimist ega liisimist, kuid erandiks on siinkohal spetsiaalsed teadustöö tegemiseks </w:t>
      </w:r>
      <w:r w:rsidR="00E36020" w:rsidRPr="00A245DA">
        <w:rPr>
          <w:rFonts w:ascii="Times New Roman" w:hAnsi="Times New Roman" w:cs="Times New Roman"/>
        </w:rPr>
        <w:t xml:space="preserve">või õppe läbiviimiseks </w:t>
      </w:r>
      <w:r w:rsidR="007454A1" w:rsidRPr="00A245DA">
        <w:rPr>
          <w:rFonts w:ascii="Times New Roman" w:hAnsi="Times New Roman" w:cs="Times New Roman"/>
        </w:rPr>
        <w:t xml:space="preserve">kohandatud liiklusvahendid, mille </w:t>
      </w:r>
      <w:r w:rsidR="0030793B" w:rsidRPr="00A245DA">
        <w:rPr>
          <w:rFonts w:ascii="Times New Roman" w:hAnsi="Times New Roman" w:cs="Times New Roman"/>
        </w:rPr>
        <w:t xml:space="preserve">rendi-, </w:t>
      </w:r>
      <w:r w:rsidR="007454A1" w:rsidRPr="00A245DA">
        <w:rPr>
          <w:rFonts w:ascii="Times New Roman" w:hAnsi="Times New Roman" w:cs="Times New Roman"/>
        </w:rPr>
        <w:t xml:space="preserve">soetamise </w:t>
      </w:r>
      <w:r w:rsidR="0030793B" w:rsidRPr="00A245DA">
        <w:rPr>
          <w:rFonts w:ascii="Times New Roman" w:hAnsi="Times New Roman" w:cs="Times New Roman"/>
        </w:rPr>
        <w:t xml:space="preserve">ja liisimise </w:t>
      </w:r>
      <w:r w:rsidR="007454A1" w:rsidRPr="00A245DA">
        <w:rPr>
          <w:rFonts w:ascii="Times New Roman" w:hAnsi="Times New Roman" w:cs="Times New Roman"/>
        </w:rPr>
        <w:t xml:space="preserve">kulud on abikõlblikud (lg 1 p </w:t>
      </w:r>
      <w:r w:rsidR="00C375AC" w:rsidRPr="00A245DA">
        <w:rPr>
          <w:rFonts w:ascii="Times New Roman" w:hAnsi="Times New Roman" w:cs="Times New Roman"/>
        </w:rPr>
        <w:t>2</w:t>
      </w:r>
      <w:r w:rsidR="00B24FC8" w:rsidRPr="00A245DA">
        <w:rPr>
          <w:rFonts w:ascii="Times New Roman" w:hAnsi="Times New Roman" w:cs="Times New Roman"/>
        </w:rPr>
        <w:t xml:space="preserve"> nimetatud kulude raames</w:t>
      </w:r>
      <w:r w:rsidR="007454A1" w:rsidRPr="00A245DA">
        <w:rPr>
          <w:rFonts w:ascii="Times New Roman" w:hAnsi="Times New Roman" w:cs="Times New Roman"/>
        </w:rPr>
        <w:t xml:space="preserve">). </w:t>
      </w:r>
      <w:r w:rsidR="007164CF" w:rsidRPr="00A245DA">
        <w:rPr>
          <w:rFonts w:ascii="Times New Roman" w:hAnsi="Times New Roman" w:cs="Times New Roman"/>
        </w:rPr>
        <w:t>Ei toetata hoonestatud ja hoonestamata maa ostu ning esindu</w:t>
      </w:r>
      <w:r w:rsidR="00C06354" w:rsidRPr="00A245DA">
        <w:rPr>
          <w:rFonts w:ascii="Times New Roman" w:hAnsi="Times New Roman" w:cs="Times New Roman"/>
        </w:rPr>
        <w:t>skulusid ja kingituste kulusid.</w:t>
      </w:r>
      <w:r w:rsidR="007454A1" w:rsidRPr="00A245DA">
        <w:rPr>
          <w:rFonts w:ascii="Times New Roman" w:hAnsi="Times New Roman" w:cs="Times New Roman"/>
        </w:rPr>
        <w:t xml:space="preserve"> Mitteabikõlblikeks loetakse üliõpilaste stipendiumid, välja arvatud juhul, kui tegemist on doktorandistipe</w:t>
      </w:r>
      <w:r w:rsidR="009D3F9F" w:rsidRPr="00A245DA">
        <w:rPr>
          <w:rFonts w:ascii="Times New Roman" w:hAnsi="Times New Roman" w:cs="Times New Roman"/>
        </w:rPr>
        <w:t>n</w:t>
      </w:r>
      <w:r w:rsidR="007454A1" w:rsidRPr="00A245DA">
        <w:rPr>
          <w:rFonts w:ascii="Times New Roman" w:hAnsi="Times New Roman" w:cs="Times New Roman"/>
        </w:rPr>
        <w:t xml:space="preserve">diumiga, mida makstakse doktoriõppe efektiivsuse ja kvaliteedi suurendamisele suunatud tegevuste elluviimise raames ning lõike 1 punktis </w:t>
      </w:r>
      <w:r w:rsidR="00C375AC" w:rsidRPr="00A245DA">
        <w:rPr>
          <w:rFonts w:ascii="Times New Roman" w:hAnsi="Times New Roman" w:cs="Times New Roman"/>
        </w:rPr>
        <w:t>9</w:t>
      </w:r>
      <w:r w:rsidR="007454A1" w:rsidRPr="00A245DA">
        <w:rPr>
          <w:rFonts w:ascii="Times New Roman" w:hAnsi="Times New Roman" w:cs="Times New Roman"/>
        </w:rPr>
        <w:t xml:space="preserve"> sätestatud tingimustel</w:t>
      </w:r>
      <w:r w:rsidR="009D3F9F" w:rsidRPr="00A245DA">
        <w:rPr>
          <w:rFonts w:ascii="Times New Roman" w:hAnsi="Times New Roman" w:cs="Times New Roman"/>
        </w:rPr>
        <w:t>. Seejuures ei toetata akadeemilise</w:t>
      </w:r>
      <w:r w:rsidR="00FD1A03" w:rsidRPr="00A245DA">
        <w:rPr>
          <w:rFonts w:ascii="Times New Roman" w:hAnsi="Times New Roman" w:cs="Times New Roman"/>
        </w:rPr>
        <w:t>l</w:t>
      </w:r>
      <w:r w:rsidR="009D3F9F" w:rsidRPr="00A245DA">
        <w:rPr>
          <w:rFonts w:ascii="Times New Roman" w:hAnsi="Times New Roman" w:cs="Times New Roman"/>
        </w:rPr>
        <w:t xml:space="preserve"> puhkusel viibivate</w:t>
      </w:r>
      <w:r w:rsidR="00FD1A03" w:rsidRPr="00A245DA">
        <w:rPr>
          <w:rFonts w:ascii="Times New Roman" w:hAnsi="Times New Roman" w:cs="Times New Roman"/>
        </w:rPr>
        <w:t xml:space="preserve"> üliõpilastega seotud kulusid</w:t>
      </w:r>
      <w:r w:rsidR="009D3F9F" w:rsidRPr="00A245DA">
        <w:rPr>
          <w:rFonts w:ascii="Times New Roman" w:hAnsi="Times New Roman" w:cs="Times New Roman"/>
        </w:rPr>
        <w:t xml:space="preserve"> </w:t>
      </w:r>
      <w:r w:rsidR="00FD1A03" w:rsidRPr="00A245DA">
        <w:rPr>
          <w:rFonts w:ascii="Times New Roman" w:hAnsi="Times New Roman" w:cs="Times New Roman"/>
        </w:rPr>
        <w:t>(</w:t>
      </w:r>
      <w:r w:rsidR="004A33E0" w:rsidRPr="00A245DA">
        <w:rPr>
          <w:rFonts w:ascii="Times New Roman" w:hAnsi="Times New Roman" w:cs="Times New Roman"/>
        </w:rPr>
        <w:t>nt sõidukulud,</w:t>
      </w:r>
      <w:r w:rsidR="00FD1A03" w:rsidRPr="00A245DA">
        <w:rPr>
          <w:rFonts w:ascii="Times New Roman" w:hAnsi="Times New Roman" w:cs="Times New Roman"/>
        </w:rPr>
        <w:t xml:space="preserve"> osavõtutasud jms)</w:t>
      </w:r>
      <w:r w:rsidR="0030793B" w:rsidRPr="00A245DA">
        <w:rPr>
          <w:rFonts w:ascii="Times New Roman" w:hAnsi="Times New Roman" w:cs="Times New Roman"/>
        </w:rPr>
        <w:t>, e</w:t>
      </w:r>
      <w:r w:rsidR="00FD1A03" w:rsidRPr="00A245DA">
        <w:rPr>
          <w:rFonts w:ascii="Times New Roman" w:hAnsi="Times New Roman" w:cs="Times New Roman"/>
        </w:rPr>
        <w:t xml:space="preserve">randi moodustavad siin </w:t>
      </w:r>
      <w:r w:rsidR="0030793B" w:rsidRPr="00A245DA">
        <w:rPr>
          <w:rFonts w:ascii="Times New Roman" w:hAnsi="Times New Roman" w:cs="Times New Roman"/>
        </w:rPr>
        <w:t xml:space="preserve">vaid </w:t>
      </w:r>
      <w:r w:rsidR="00BF3C2A" w:rsidRPr="00A245DA">
        <w:rPr>
          <w:rFonts w:ascii="Times New Roman" w:hAnsi="Times New Roman" w:cs="Times New Roman"/>
        </w:rPr>
        <w:t xml:space="preserve">Ülikooliseaduse § 22 lõikes 10 nimetatud: </w:t>
      </w:r>
      <w:r w:rsidR="004A33E0" w:rsidRPr="00A245DA">
        <w:rPr>
          <w:rFonts w:ascii="Times New Roman" w:hAnsi="Times New Roman" w:cs="Times New Roman"/>
        </w:rPr>
        <w:t xml:space="preserve">1) </w:t>
      </w:r>
      <w:r w:rsidR="00FD1A03" w:rsidRPr="00A245DA">
        <w:rPr>
          <w:rFonts w:ascii="Times New Roman" w:hAnsi="Times New Roman" w:cs="Times New Roman"/>
        </w:rPr>
        <w:t xml:space="preserve">keskmise, raske või sügava puudega isikud või </w:t>
      </w:r>
      <w:r w:rsidR="004A33E0" w:rsidRPr="00A245DA">
        <w:rPr>
          <w:rFonts w:ascii="Times New Roman" w:hAnsi="Times New Roman" w:cs="Times New Roman"/>
        </w:rPr>
        <w:t xml:space="preserve">2) </w:t>
      </w:r>
      <w:r w:rsidR="00FD1A03" w:rsidRPr="00A245DA">
        <w:rPr>
          <w:rFonts w:ascii="Times New Roman" w:hAnsi="Times New Roman" w:cs="Times New Roman"/>
        </w:rPr>
        <w:t xml:space="preserve">alla </w:t>
      </w:r>
      <w:r w:rsidR="004A33E0" w:rsidRPr="00A245DA">
        <w:rPr>
          <w:rFonts w:ascii="Times New Roman" w:hAnsi="Times New Roman" w:cs="Times New Roman"/>
        </w:rPr>
        <w:t>3</w:t>
      </w:r>
      <w:r w:rsidR="00FD1A03" w:rsidRPr="00A245DA">
        <w:rPr>
          <w:rFonts w:ascii="Times New Roman" w:hAnsi="Times New Roman" w:cs="Times New Roman"/>
        </w:rPr>
        <w:t>-aastase lapse või puudega lapse vanemad või eestkostja</w:t>
      </w:r>
      <w:r w:rsidR="004A33E0" w:rsidRPr="00A245DA">
        <w:rPr>
          <w:rFonts w:ascii="Times New Roman" w:hAnsi="Times New Roman" w:cs="Times New Roman"/>
        </w:rPr>
        <w:t xml:space="preserve">d või 3) aja- või asendusteenistuse läbimise tõttu akadeemilisel puhkusel viibivad isikud, kes osalevad õppetöös ja </w:t>
      </w:r>
      <w:r w:rsidR="00FD1A03" w:rsidRPr="00A245DA">
        <w:rPr>
          <w:rFonts w:ascii="Times New Roman" w:hAnsi="Times New Roman" w:cs="Times New Roman"/>
        </w:rPr>
        <w:t xml:space="preserve"> kel on </w:t>
      </w:r>
      <w:r w:rsidR="0086425B" w:rsidRPr="00A245DA">
        <w:rPr>
          <w:rFonts w:ascii="Times New Roman" w:hAnsi="Times New Roman" w:cs="Times New Roman"/>
        </w:rPr>
        <w:t>„</w:t>
      </w:r>
      <w:r w:rsidR="00FD1A03" w:rsidRPr="00A245DA">
        <w:rPr>
          <w:rFonts w:ascii="Times New Roman" w:hAnsi="Times New Roman" w:cs="Times New Roman"/>
        </w:rPr>
        <w:t>Ülikooliseaduse</w:t>
      </w:r>
      <w:r w:rsidR="0086425B" w:rsidRPr="00A245DA">
        <w:rPr>
          <w:rFonts w:ascii="Times New Roman" w:hAnsi="Times New Roman" w:cs="Times New Roman"/>
        </w:rPr>
        <w:t>“</w:t>
      </w:r>
      <w:r w:rsidR="00FD1A03" w:rsidRPr="00A245DA">
        <w:rPr>
          <w:rFonts w:ascii="Times New Roman" w:hAnsi="Times New Roman" w:cs="Times New Roman"/>
        </w:rPr>
        <w:t xml:space="preserve"> kohaselt õigus osaleda õppetöös ka akadeemilise puhkuse ajal. </w:t>
      </w:r>
      <w:r w:rsidR="009D3F9F" w:rsidRPr="00A245DA">
        <w:rPr>
          <w:rFonts w:ascii="Times New Roman" w:hAnsi="Times New Roman" w:cs="Times New Roman"/>
        </w:rPr>
        <w:t xml:space="preserve">Doktoriõppe efektiivsuse ja kvaliteedi suurendamisele suunatud tegevuste elluviimise raames ei ole abikõlblik ka doktorantidele doktorikoolis osalemise eest tasu maksmine. </w:t>
      </w:r>
      <w:r w:rsidR="00CC00D0" w:rsidRPr="00A245DA">
        <w:rPr>
          <w:rFonts w:ascii="Times New Roman" w:hAnsi="Times New Roman" w:cs="Times New Roman"/>
        </w:rPr>
        <w:t xml:space="preserve">See tähendab, et doktorandile makstav tasu ei </w:t>
      </w:r>
      <w:r w:rsidR="00000DE0" w:rsidRPr="00A245DA">
        <w:rPr>
          <w:rFonts w:ascii="Times New Roman" w:hAnsi="Times New Roman" w:cs="Times New Roman"/>
        </w:rPr>
        <w:t>või</w:t>
      </w:r>
      <w:r w:rsidR="00CC00D0" w:rsidRPr="00A245DA">
        <w:rPr>
          <w:rFonts w:ascii="Times New Roman" w:hAnsi="Times New Roman" w:cs="Times New Roman"/>
        </w:rPr>
        <w:t xml:space="preserve"> olla </w:t>
      </w:r>
      <w:r w:rsidR="00000DE0" w:rsidRPr="00A245DA">
        <w:rPr>
          <w:rFonts w:ascii="Times New Roman" w:hAnsi="Times New Roman" w:cs="Times New Roman"/>
        </w:rPr>
        <w:t>hüvitiseks</w:t>
      </w:r>
      <w:r w:rsidR="00CC00D0" w:rsidRPr="00A245DA">
        <w:rPr>
          <w:rFonts w:ascii="Times New Roman" w:hAnsi="Times New Roman" w:cs="Times New Roman"/>
        </w:rPr>
        <w:t xml:space="preserve"> doktorikooli tegevustes osalemise eest, nt osavõtu eest seminaridel. Samas kui doktorant teeb teadustööd nooremteaduri ametipositsioonil või töötab mõnel muul ametipositsioonil</w:t>
      </w:r>
      <w:r w:rsidR="00957D9E" w:rsidRPr="00A245DA">
        <w:rPr>
          <w:rFonts w:ascii="Times New Roman" w:hAnsi="Times New Roman" w:cs="Times New Roman"/>
        </w:rPr>
        <w:t>,</w:t>
      </w:r>
      <w:r w:rsidR="00CC00D0" w:rsidRPr="00A245DA">
        <w:rPr>
          <w:rFonts w:ascii="Times New Roman" w:hAnsi="Times New Roman" w:cs="Times New Roman"/>
        </w:rPr>
        <w:t xml:space="preserve"> on lubatud talle tasu maksta tehtud töö eest, nt konverentsi korraldamise</w:t>
      </w:r>
      <w:r w:rsidR="00957D9E" w:rsidRPr="00A245DA">
        <w:rPr>
          <w:rFonts w:ascii="Times New Roman" w:hAnsi="Times New Roman" w:cs="Times New Roman"/>
        </w:rPr>
        <w:t xml:space="preserve"> eest</w:t>
      </w:r>
      <w:r w:rsidR="00CC00D0" w:rsidRPr="00A245DA">
        <w:rPr>
          <w:rFonts w:ascii="Times New Roman" w:hAnsi="Times New Roman" w:cs="Times New Roman"/>
        </w:rPr>
        <w:t xml:space="preserve"> vms. </w:t>
      </w:r>
      <w:r w:rsidR="00502B3D" w:rsidRPr="00A245DA">
        <w:rPr>
          <w:rFonts w:ascii="Times New Roman" w:hAnsi="Times New Roman" w:cs="Times New Roman"/>
        </w:rPr>
        <w:t xml:space="preserve">Doktorantidele doktorikoolides osalemise eest tasu maksmine on peetud oluliseks välja tuua mitteabikõlbliku kuluna, kuna seda praktiseeritakse rahvusvaheliselt </w:t>
      </w:r>
      <w:r w:rsidR="00000DE0" w:rsidRPr="00A245DA">
        <w:rPr>
          <w:rFonts w:ascii="Times New Roman" w:hAnsi="Times New Roman" w:cs="Times New Roman"/>
        </w:rPr>
        <w:t>ning</w:t>
      </w:r>
      <w:r w:rsidR="00502B3D" w:rsidRPr="00A245DA">
        <w:rPr>
          <w:rFonts w:ascii="Times New Roman" w:hAnsi="Times New Roman" w:cs="Times New Roman"/>
        </w:rPr>
        <w:t xml:space="preserve"> on rahastatud ka </w:t>
      </w:r>
      <w:r w:rsidR="00957D9E" w:rsidRPr="00A245DA">
        <w:rPr>
          <w:rFonts w:ascii="Times New Roman" w:hAnsi="Times New Roman" w:cs="Times New Roman"/>
        </w:rPr>
        <w:t xml:space="preserve">perioodil </w:t>
      </w:r>
      <w:r w:rsidR="00502B3D" w:rsidRPr="00A245DA">
        <w:rPr>
          <w:rFonts w:ascii="Times New Roman" w:hAnsi="Times New Roman" w:cs="Times New Roman"/>
        </w:rPr>
        <w:t xml:space="preserve">2004-2006 toetatud doktorikoolide kaudu. </w:t>
      </w:r>
      <w:r w:rsidR="00C3039E" w:rsidRPr="00A245DA">
        <w:rPr>
          <w:rFonts w:ascii="Times New Roman" w:hAnsi="Times New Roman" w:cs="Times New Roman"/>
        </w:rPr>
        <w:t>Ü</w:t>
      </w:r>
      <w:r w:rsidR="009D3F9F" w:rsidRPr="00A245DA">
        <w:rPr>
          <w:rFonts w:ascii="Times New Roman" w:hAnsi="Times New Roman" w:cs="Times New Roman"/>
        </w:rPr>
        <w:t>liõpilase juhendamisprotsessis osalevate Eesti (kaas)juhendajate või konsultantide juhendamise tasusid</w:t>
      </w:r>
      <w:r w:rsidR="00C3039E" w:rsidRPr="00A245DA">
        <w:rPr>
          <w:rFonts w:ascii="Times New Roman" w:hAnsi="Times New Roman" w:cs="Times New Roman"/>
        </w:rPr>
        <w:t xml:space="preserve"> ei hüvitata</w:t>
      </w:r>
      <w:r w:rsidR="009D3F9F" w:rsidRPr="00A245DA">
        <w:rPr>
          <w:rFonts w:ascii="Times New Roman" w:hAnsi="Times New Roman" w:cs="Times New Roman"/>
        </w:rPr>
        <w:t xml:space="preserve">, erandiks on vaid juhud, kus (kaas)juhendamine või konsulteerimine toimub teises asutuses. </w:t>
      </w:r>
      <w:r w:rsidR="007331F9" w:rsidRPr="00A245DA">
        <w:rPr>
          <w:rFonts w:ascii="Times New Roman" w:hAnsi="Times New Roman" w:cs="Times New Roman"/>
        </w:rPr>
        <w:t xml:space="preserve">Üliõpilastel on eestikeelsetel õppekavadel õppimine tasuta, õppekulude hüvitamise kohustus tekib edasijõudmatuse tõttu, mille toetamist peame ebaotstarbekaks. Rahvusvaheliste õppekavade puhul toetatakse ASTRA-st õppekavade arendust, üliõpilaste õppekulude hüvitamise toetamine tähendaks sisuliselt topeltrahastamist. </w:t>
      </w:r>
      <w:r w:rsidR="00546E7E" w:rsidRPr="00A245DA">
        <w:rPr>
          <w:rFonts w:ascii="Times New Roman" w:hAnsi="Times New Roman" w:cs="Times New Roman"/>
        </w:rPr>
        <w:t xml:space="preserve">Õppekulude mõiste </w:t>
      </w:r>
      <w:r w:rsidR="00CA7DEB" w:rsidRPr="00A245DA">
        <w:rPr>
          <w:rFonts w:ascii="Times New Roman" w:hAnsi="Times New Roman" w:cs="Times New Roman"/>
        </w:rPr>
        <w:t xml:space="preserve">tuleneb </w:t>
      </w:r>
      <w:r w:rsidR="00546E7E" w:rsidRPr="00A245DA">
        <w:rPr>
          <w:rFonts w:ascii="Times New Roman" w:hAnsi="Times New Roman" w:cs="Times New Roman"/>
        </w:rPr>
        <w:t>Ülikooliseaduses</w:t>
      </w:r>
      <w:r w:rsidR="00CA7DEB" w:rsidRPr="00A245DA">
        <w:rPr>
          <w:rFonts w:ascii="Times New Roman" w:hAnsi="Times New Roman" w:cs="Times New Roman"/>
        </w:rPr>
        <w:t>t</w:t>
      </w:r>
      <w:r w:rsidR="00546E7E" w:rsidRPr="00A245DA">
        <w:rPr>
          <w:rFonts w:ascii="Times New Roman" w:hAnsi="Times New Roman" w:cs="Times New Roman"/>
        </w:rPr>
        <w:t>. Mitteabikõlblik</w:t>
      </w:r>
      <w:r w:rsidR="00CA7DEB" w:rsidRPr="00A245DA">
        <w:rPr>
          <w:rFonts w:ascii="Times New Roman" w:hAnsi="Times New Roman" w:cs="Times New Roman"/>
        </w:rPr>
        <w:t xml:space="preserve">ud on </w:t>
      </w:r>
      <w:r w:rsidR="00546E7E" w:rsidRPr="00A245DA">
        <w:rPr>
          <w:rFonts w:ascii="Times New Roman" w:hAnsi="Times New Roman" w:cs="Times New Roman"/>
        </w:rPr>
        <w:t xml:space="preserve">„Ülikooliseaduse“ § 13³ </w:t>
      </w:r>
      <w:r w:rsidR="00CA7DEB" w:rsidRPr="00A245DA">
        <w:rPr>
          <w:rFonts w:ascii="Times New Roman" w:hAnsi="Times New Roman" w:cs="Times New Roman"/>
        </w:rPr>
        <w:t xml:space="preserve">alusel </w:t>
      </w:r>
      <w:r w:rsidR="00956DC7" w:rsidRPr="00A245DA">
        <w:rPr>
          <w:rFonts w:ascii="Times New Roman" w:hAnsi="Times New Roman" w:cs="Times New Roman"/>
        </w:rPr>
        <w:t>nõutavate</w:t>
      </w:r>
      <w:r w:rsidR="00CA7DEB" w:rsidRPr="00A245DA">
        <w:rPr>
          <w:rFonts w:ascii="Times New Roman" w:hAnsi="Times New Roman" w:cs="Times New Roman"/>
        </w:rPr>
        <w:t xml:space="preserve"> õppekulude hüvitamine. </w:t>
      </w:r>
    </w:p>
    <w:p w14:paraId="26F7E114" w14:textId="2205B73A" w:rsidR="003C135F" w:rsidRPr="00A245DA" w:rsidRDefault="003C135F" w:rsidP="00615C7D">
      <w:pPr>
        <w:pStyle w:val="NoSpacing"/>
        <w:ind w:firstLine="708"/>
        <w:jc w:val="both"/>
        <w:rPr>
          <w:rFonts w:ascii="Times New Roman" w:hAnsi="Times New Roman" w:cs="Times New Roman"/>
        </w:rPr>
      </w:pPr>
      <w:r w:rsidRPr="00A245DA">
        <w:rPr>
          <w:rFonts w:ascii="Times New Roman" w:hAnsi="Times New Roman" w:cs="Times New Roman"/>
        </w:rPr>
        <w:t>Mitteabikõlblike kulude määratlemisel on arvestatud ka võimaliku dubleeriva efekti vältimist nende tegevuste puhul, mida saab katta teistest rakenduskava meetmetest või riiklikest vahenditest. Nt üliõpilaste stipendiumeid kaetakse teiste rahastusskeemide alusel (riiklikud toetused, rakenduskava meetmed).</w:t>
      </w:r>
      <w:r w:rsidR="007331F9" w:rsidRPr="00A245DA">
        <w:rPr>
          <w:rFonts w:ascii="Times New Roman" w:hAnsi="Times New Roman" w:cs="Times New Roman"/>
        </w:rPr>
        <w:t xml:space="preserve"> </w:t>
      </w:r>
    </w:p>
    <w:p w14:paraId="114F7ADC" w14:textId="5BB831D3" w:rsidR="00C16E02" w:rsidRPr="00A245DA" w:rsidRDefault="005D3F00" w:rsidP="005D3F00">
      <w:pPr>
        <w:pStyle w:val="NoSpacing"/>
        <w:jc w:val="both"/>
        <w:rPr>
          <w:rFonts w:ascii="Times New Roman" w:hAnsi="Times New Roman" w:cs="Times New Roman"/>
          <w:color w:val="FF0000"/>
        </w:rPr>
      </w:pPr>
      <w:r w:rsidRPr="00A245DA">
        <w:rPr>
          <w:rFonts w:ascii="Times New Roman" w:hAnsi="Times New Roman" w:cs="Times New Roman"/>
          <w:u w:val="single"/>
        </w:rPr>
        <w:lastRenderedPageBreak/>
        <w:t xml:space="preserve">Lõige </w:t>
      </w:r>
      <w:r w:rsidR="00952FD1" w:rsidRPr="00A245DA">
        <w:rPr>
          <w:rFonts w:ascii="Times New Roman" w:hAnsi="Times New Roman" w:cs="Times New Roman"/>
          <w:u w:val="single"/>
        </w:rPr>
        <w:t>4</w:t>
      </w:r>
      <w:r w:rsidRPr="00A245DA">
        <w:rPr>
          <w:rFonts w:ascii="Times New Roman" w:hAnsi="Times New Roman" w:cs="Times New Roman"/>
        </w:rPr>
        <w:t xml:space="preserve"> sätestab</w:t>
      </w:r>
      <w:r w:rsidR="00D53A82" w:rsidRPr="00A245DA">
        <w:rPr>
          <w:rFonts w:ascii="Times New Roman" w:hAnsi="Times New Roman" w:cs="Times New Roman"/>
        </w:rPr>
        <w:t xml:space="preserve"> kulude</w:t>
      </w:r>
      <w:r w:rsidRPr="00A245DA">
        <w:rPr>
          <w:rFonts w:ascii="Times New Roman" w:hAnsi="Times New Roman" w:cs="Times New Roman"/>
        </w:rPr>
        <w:t xml:space="preserve"> </w:t>
      </w:r>
      <w:r w:rsidR="00D53A82" w:rsidRPr="00A245DA">
        <w:rPr>
          <w:rFonts w:ascii="Times New Roman" w:hAnsi="Times New Roman" w:cs="Times New Roman"/>
        </w:rPr>
        <w:t xml:space="preserve">abikõlblikuks lugemise </w:t>
      </w:r>
      <w:r w:rsidRPr="00A245DA">
        <w:rPr>
          <w:rFonts w:ascii="Times New Roman" w:hAnsi="Times New Roman" w:cs="Times New Roman"/>
        </w:rPr>
        <w:t>üldise</w:t>
      </w:r>
      <w:r w:rsidR="00D53A82" w:rsidRPr="00A245DA">
        <w:rPr>
          <w:rFonts w:ascii="Times New Roman" w:hAnsi="Times New Roman" w:cs="Times New Roman"/>
        </w:rPr>
        <w:t>d tingimused</w:t>
      </w:r>
      <w:r w:rsidRPr="00A245DA">
        <w:rPr>
          <w:rFonts w:ascii="Times New Roman" w:hAnsi="Times New Roman" w:cs="Times New Roman"/>
        </w:rPr>
        <w:t xml:space="preserve">. Ühendmäärus sätestab, et kulu peab olema põhjendatud, </w:t>
      </w:r>
      <w:r w:rsidR="00630091" w:rsidRPr="00A245DA">
        <w:rPr>
          <w:rFonts w:ascii="Times New Roman" w:hAnsi="Times New Roman" w:cs="Times New Roman"/>
        </w:rPr>
        <w:t xml:space="preserve">tõendatud, </w:t>
      </w:r>
      <w:r w:rsidRPr="00A245DA">
        <w:rPr>
          <w:rFonts w:ascii="Times New Roman" w:hAnsi="Times New Roman" w:cs="Times New Roman"/>
        </w:rPr>
        <w:t xml:space="preserve">tegelikult tehtud ja makstud abikõlblikkuse perioodil. </w:t>
      </w:r>
      <w:r w:rsidR="00EA7E62" w:rsidRPr="00A245DA">
        <w:rPr>
          <w:rFonts w:ascii="Times New Roman" w:hAnsi="Times New Roman" w:cs="Times New Roman"/>
        </w:rPr>
        <w:t xml:space="preserve">Juhul, kui rahastatav projekt on seotud puhastulu teenimisega, järgitakse ühendmääruse § 5 sätestatut. </w:t>
      </w:r>
      <w:r w:rsidR="0079365E" w:rsidRPr="00A245DA">
        <w:rPr>
          <w:rFonts w:ascii="Times New Roman" w:hAnsi="Times New Roman" w:cs="Times New Roman"/>
        </w:rPr>
        <w:t xml:space="preserve">Puhastulu </w:t>
      </w:r>
      <w:r w:rsidR="008C1C2F" w:rsidRPr="00A245DA">
        <w:rPr>
          <w:rFonts w:ascii="Times New Roman" w:hAnsi="Times New Roman" w:cs="Times New Roman"/>
        </w:rPr>
        <w:t>tuleb arvestada näiteks taristu kasutada andmisel ja teenuste osutamisel. ASTRA</w:t>
      </w:r>
      <w:r w:rsidR="003142A2" w:rsidRPr="00A245DA">
        <w:rPr>
          <w:rFonts w:ascii="Times New Roman" w:hAnsi="Times New Roman" w:cs="Times New Roman"/>
        </w:rPr>
        <w:t>-</w:t>
      </w:r>
      <w:r w:rsidR="008C1C2F" w:rsidRPr="00A245DA">
        <w:rPr>
          <w:rFonts w:ascii="Times New Roman" w:hAnsi="Times New Roman" w:cs="Times New Roman"/>
        </w:rPr>
        <w:t xml:space="preserve">s võetakse puhastulu arvestamisel aluseks diskonteeritud meetod, võttes arvesse tegevuse sektorile asjakohast võrdlusperioodi ja vastava investeeringuliigi eeldatavat kulutasuvust. </w:t>
      </w:r>
    </w:p>
    <w:p w14:paraId="536D2E83" w14:textId="77777777" w:rsidR="000850F5" w:rsidRPr="00A245DA" w:rsidRDefault="000850F5" w:rsidP="000850F5">
      <w:pPr>
        <w:pStyle w:val="NoSpacing"/>
        <w:rPr>
          <w:rFonts w:ascii="Times New Roman" w:hAnsi="Times New Roman" w:cs="Times New Roman"/>
        </w:rPr>
      </w:pPr>
    </w:p>
    <w:p w14:paraId="659E1472" w14:textId="6BC481B9" w:rsidR="00C3039E" w:rsidRPr="00A245DA" w:rsidRDefault="00B22DDE" w:rsidP="00C93DBB">
      <w:pPr>
        <w:pStyle w:val="NoSpacing"/>
        <w:jc w:val="both"/>
        <w:rPr>
          <w:rFonts w:ascii="Times New Roman" w:hAnsi="Times New Roman" w:cs="Times New Roman"/>
        </w:rPr>
      </w:pPr>
      <w:r w:rsidRPr="00A245DA">
        <w:rPr>
          <w:rFonts w:ascii="Times New Roman" w:hAnsi="Times New Roman" w:cs="Times New Roman"/>
          <w:u w:val="single"/>
        </w:rPr>
        <w:t>§ 8</w:t>
      </w:r>
      <w:r w:rsidRPr="00A245DA">
        <w:rPr>
          <w:rFonts w:ascii="Times New Roman" w:hAnsi="Times New Roman" w:cs="Times New Roman"/>
        </w:rPr>
        <w:t xml:space="preserve"> sätestab, et </w:t>
      </w:r>
      <w:r w:rsidRPr="00A245DA">
        <w:rPr>
          <w:rFonts w:ascii="Times New Roman" w:hAnsi="Times New Roman" w:cs="Times New Roman"/>
          <w:lang w:eastAsia="et-EE"/>
        </w:rPr>
        <w:t>projekti abikõlblikkuse periood määratakse taotluse rahuldamise otsuses, kuid see peab jääma ajavahemikku 1. jaanuar 2014 kuni 31. august 202</w:t>
      </w:r>
      <w:r w:rsidR="00983767" w:rsidRPr="00A245DA">
        <w:rPr>
          <w:rFonts w:ascii="Times New Roman" w:hAnsi="Times New Roman" w:cs="Times New Roman"/>
          <w:lang w:eastAsia="et-EE"/>
        </w:rPr>
        <w:t>2</w:t>
      </w:r>
      <w:r w:rsidRPr="00A245DA">
        <w:rPr>
          <w:rFonts w:ascii="Times New Roman" w:hAnsi="Times New Roman" w:cs="Times New Roman"/>
          <w:lang w:eastAsia="et-EE"/>
        </w:rPr>
        <w:t xml:space="preserve">. </w:t>
      </w:r>
      <w:r w:rsidR="00E36020" w:rsidRPr="00A245DA">
        <w:rPr>
          <w:rFonts w:ascii="Times New Roman" w:hAnsi="Times New Roman" w:cs="Times New Roman"/>
        </w:rPr>
        <w:t>Üldjuhul peaksid esitatava projekti tegevused olema planeeritud kuni aastani 2020, mitte kauem. Pikaajalised jätkuva iseloomuga tegevused, nt välisõppejõudude kaasamine rahvusvahelistumise edendamiseks, doktoriõppe efektiivsuse ja kvaliteedi tõstmiseks tehtavad tegevused, võivad kesta kuni abikõlblikkuse perioodi lõpuni.</w:t>
      </w:r>
    </w:p>
    <w:p w14:paraId="63615521" w14:textId="3249DA8C" w:rsidR="00B22DDE" w:rsidRPr="00A245DA" w:rsidRDefault="00B22DDE" w:rsidP="00E36020">
      <w:pPr>
        <w:pStyle w:val="NoSpacing"/>
        <w:ind w:firstLine="708"/>
        <w:jc w:val="both"/>
        <w:rPr>
          <w:rFonts w:ascii="Times New Roman" w:hAnsi="Times New Roman" w:cs="Times New Roman"/>
        </w:rPr>
      </w:pPr>
      <w:r w:rsidRPr="00A245DA">
        <w:rPr>
          <w:rFonts w:ascii="Times New Roman" w:hAnsi="Times New Roman" w:cs="Times New Roman"/>
        </w:rPr>
        <w:t xml:space="preserve">Juhul, kui kulusid on tehtud enne toetuse taotluse esitamise kuupäeva, peavad need olema taotluses eraldi näidatud. Kulude tegemine </w:t>
      </w:r>
      <w:r w:rsidR="00DC6E81" w:rsidRPr="00A245DA">
        <w:rPr>
          <w:rFonts w:ascii="Times New Roman" w:hAnsi="Times New Roman" w:cs="Times New Roman"/>
        </w:rPr>
        <w:t xml:space="preserve">(abikõlblikkus) </w:t>
      </w:r>
      <w:r w:rsidRPr="00A245DA">
        <w:rPr>
          <w:rFonts w:ascii="Times New Roman" w:hAnsi="Times New Roman" w:cs="Times New Roman"/>
        </w:rPr>
        <w:t xml:space="preserve">enne taotluse esitamise kuupäeva </w:t>
      </w:r>
      <w:r w:rsidR="00C3039E" w:rsidRPr="00A245DA">
        <w:rPr>
          <w:rFonts w:ascii="Times New Roman" w:hAnsi="Times New Roman" w:cs="Times New Roman"/>
        </w:rPr>
        <w:t>on</w:t>
      </w:r>
      <w:r w:rsidRPr="00A245DA">
        <w:rPr>
          <w:rFonts w:ascii="Times New Roman" w:hAnsi="Times New Roman" w:cs="Times New Roman"/>
        </w:rPr>
        <w:t xml:space="preserve"> ASTRA puhul põhjendatud </w:t>
      </w:r>
      <w:r w:rsidR="00C3039E" w:rsidRPr="00A245DA">
        <w:rPr>
          <w:rFonts w:ascii="Times New Roman" w:hAnsi="Times New Roman" w:cs="Times New Roman"/>
        </w:rPr>
        <w:t>eelkõige</w:t>
      </w:r>
      <w:r w:rsidRPr="00A245DA">
        <w:rPr>
          <w:rFonts w:ascii="Times New Roman" w:hAnsi="Times New Roman" w:cs="Times New Roman"/>
        </w:rPr>
        <w:t xml:space="preserve"> seoses õppe- ja teadushoonete rajamisega, mis </w:t>
      </w:r>
      <w:r w:rsidR="00C3039E" w:rsidRPr="00A245DA">
        <w:rPr>
          <w:rFonts w:ascii="Times New Roman" w:hAnsi="Times New Roman" w:cs="Times New Roman"/>
        </w:rPr>
        <w:t xml:space="preserve">vajavad </w:t>
      </w:r>
      <w:r w:rsidRPr="00A245DA">
        <w:rPr>
          <w:rFonts w:ascii="Times New Roman" w:hAnsi="Times New Roman" w:cs="Times New Roman"/>
        </w:rPr>
        <w:t>ettevalmistavate tegevuste elluviimis</w:t>
      </w:r>
      <w:r w:rsidR="004241C8" w:rsidRPr="00A245DA">
        <w:rPr>
          <w:rFonts w:ascii="Times New Roman" w:hAnsi="Times New Roman" w:cs="Times New Roman"/>
        </w:rPr>
        <w:t>eks pikemat aega</w:t>
      </w:r>
      <w:r w:rsidR="00E36020" w:rsidRPr="00A245DA">
        <w:rPr>
          <w:rFonts w:ascii="Times New Roman" w:hAnsi="Times New Roman" w:cs="Times New Roman"/>
        </w:rPr>
        <w:t xml:space="preserve"> (nt kui mõni asutus on juba varem välja kuulutanud õppe- või teadushoone arhitektuurivõistluse).</w:t>
      </w:r>
      <w:r w:rsidR="00DC6E81" w:rsidRPr="00A245DA">
        <w:rPr>
          <w:rFonts w:ascii="Times New Roman" w:hAnsi="Times New Roman" w:cs="Times New Roman"/>
        </w:rPr>
        <w:t xml:space="preserve"> </w:t>
      </w:r>
      <w:r w:rsidR="00CB30DF" w:rsidRPr="00A245DA">
        <w:rPr>
          <w:rFonts w:ascii="Times New Roman" w:hAnsi="Times New Roman" w:cs="Times New Roman"/>
        </w:rPr>
        <w:t xml:space="preserve">Riigiabi puhul ei tohi taotleja alustada projektiga seotud tegevusi ega võtta kohustusi nimetatud tegevuste elluviimiseks enne taotluse esitamist rakendusüksusele. </w:t>
      </w:r>
    </w:p>
    <w:p w14:paraId="24DA9F1D" w14:textId="77777777" w:rsidR="00D22F16" w:rsidRPr="00A245DA" w:rsidRDefault="00D22F16" w:rsidP="00E36020">
      <w:pPr>
        <w:pStyle w:val="NoSpacing"/>
        <w:ind w:firstLine="708"/>
        <w:jc w:val="both"/>
        <w:rPr>
          <w:rFonts w:ascii="Times New Roman" w:hAnsi="Times New Roman" w:cs="Times New Roman"/>
          <w:color w:val="0070C0"/>
        </w:rPr>
      </w:pPr>
    </w:p>
    <w:p w14:paraId="3EF7DD29" w14:textId="7675118D" w:rsidR="00AD6BC7" w:rsidRPr="00A245DA" w:rsidRDefault="00B22DDE" w:rsidP="00B22DDE">
      <w:pPr>
        <w:pStyle w:val="NoSpacing"/>
        <w:jc w:val="both"/>
        <w:rPr>
          <w:rFonts w:ascii="Times New Roman" w:hAnsi="Times New Roman" w:cs="Times New Roman"/>
          <w:u w:val="single"/>
        </w:rPr>
      </w:pPr>
      <w:r w:rsidRPr="00A245DA">
        <w:rPr>
          <w:rFonts w:ascii="Times New Roman" w:hAnsi="Times New Roman" w:cs="Times New Roman"/>
          <w:u w:val="single"/>
        </w:rPr>
        <w:t>§ 9</w:t>
      </w:r>
      <w:r w:rsidRPr="00A245DA">
        <w:rPr>
          <w:rFonts w:ascii="Times New Roman" w:hAnsi="Times New Roman" w:cs="Times New Roman"/>
        </w:rPr>
        <w:t xml:space="preserve"> sätestab taotletava toetuse piirsummade ja osakaaluga seonduva. </w:t>
      </w:r>
    </w:p>
    <w:p w14:paraId="643AEC44" w14:textId="45C7C1D7" w:rsidR="00B22DDE" w:rsidRPr="00A245DA" w:rsidRDefault="00B22DDE" w:rsidP="003142A2">
      <w:pPr>
        <w:pStyle w:val="NoSpacing"/>
        <w:jc w:val="both"/>
        <w:rPr>
          <w:rFonts w:ascii="Times New Roman" w:hAnsi="Times New Roman" w:cs="Times New Roman"/>
        </w:rPr>
      </w:pPr>
      <w:r w:rsidRPr="00A245DA">
        <w:rPr>
          <w:rFonts w:ascii="Times New Roman" w:hAnsi="Times New Roman" w:cs="Times New Roman"/>
          <w:u w:val="single"/>
        </w:rPr>
        <w:t>Lõikes 1</w:t>
      </w:r>
      <w:r w:rsidRPr="00A245DA">
        <w:rPr>
          <w:rFonts w:ascii="Times New Roman" w:hAnsi="Times New Roman" w:cs="Times New Roman"/>
        </w:rPr>
        <w:t xml:space="preserve"> täpsustatakse taotletava toetuse minimaalne summa</w:t>
      </w:r>
      <w:r w:rsidR="00463C55" w:rsidRPr="00A245DA">
        <w:rPr>
          <w:rFonts w:ascii="Times New Roman" w:hAnsi="Times New Roman" w:cs="Times New Roman"/>
        </w:rPr>
        <w:t xml:space="preserve">. Kehtib põhimõte, et iga asutus esitab </w:t>
      </w:r>
      <w:r w:rsidR="00630091" w:rsidRPr="00A245DA">
        <w:rPr>
          <w:rFonts w:ascii="Times New Roman" w:hAnsi="Times New Roman" w:cs="Times New Roman"/>
        </w:rPr>
        <w:t>ühe</w:t>
      </w:r>
      <w:r w:rsidR="00463C55" w:rsidRPr="00A245DA">
        <w:rPr>
          <w:rFonts w:ascii="Times New Roman" w:hAnsi="Times New Roman" w:cs="Times New Roman"/>
        </w:rPr>
        <w:t xml:space="preserve"> projekti, mis väljendab asutuse terviklikk</w:t>
      </w:r>
      <w:r w:rsidR="004241C8" w:rsidRPr="00A245DA">
        <w:rPr>
          <w:rFonts w:ascii="Times New Roman" w:hAnsi="Times New Roman" w:cs="Times New Roman"/>
        </w:rPr>
        <w:t>u</w:t>
      </w:r>
      <w:r w:rsidR="00463C55" w:rsidRPr="00A245DA">
        <w:rPr>
          <w:rFonts w:ascii="Times New Roman" w:hAnsi="Times New Roman" w:cs="Times New Roman"/>
        </w:rPr>
        <w:t xml:space="preserve"> arendusplaan</w:t>
      </w:r>
      <w:r w:rsidR="004241C8" w:rsidRPr="00A245DA">
        <w:rPr>
          <w:rFonts w:ascii="Times New Roman" w:hAnsi="Times New Roman" w:cs="Times New Roman"/>
        </w:rPr>
        <w:t>i</w:t>
      </w:r>
      <w:r w:rsidR="00463C55" w:rsidRPr="00A245DA">
        <w:rPr>
          <w:rFonts w:ascii="Times New Roman" w:hAnsi="Times New Roman" w:cs="Times New Roman"/>
        </w:rPr>
        <w:t xml:space="preserve">. Taotletava toetuse alampiiri seadmise eesmärk on kindlustada selliste ettepanekute esitamine, mis on piisavalt </w:t>
      </w:r>
      <w:r w:rsidR="00FE3FB9" w:rsidRPr="00A245DA">
        <w:rPr>
          <w:rFonts w:ascii="Times New Roman" w:hAnsi="Times New Roman" w:cs="Times New Roman"/>
        </w:rPr>
        <w:t xml:space="preserve">terviklikud, </w:t>
      </w:r>
      <w:r w:rsidR="00463C55" w:rsidRPr="00A245DA">
        <w:rPr>
          <w:rFonts w:ascii="Times New Roman" w:hAnsi="Times New Roman" w:cs="Times New Roman"/>
        </w:rPr>
        <w:t>komplekssed ja sisukad</w:t>
      </w:r>
      <w:r w:rsidR="00FE3FB9" w:rsidRPr="00A245DA">
        <w:rPr>
          <w:rFonts w:ascii="Times New Roman" w:hAnsi="Times New Roman" w:cs="Times New Roman"/>
        </w:rPr>
        <w:t>, et vältida toetuse andmisel tegevuste ja vahendite killusta</w:t>
      </w:r>
      <w:r w:rsidR="004241C8" w:rsidRPr="00A245DA">
        <w:rPr>
          <w:rFonts w:ascii="Times New Roman" w:hAnsi="Times New Roman" w:cs="Times New Roman"/>
        </w:rPr>
        <w:t>mi</w:t>
      </w:r>
      <w:r w:rsidR="00FE3FB9" w:rsidRPr="00A245DA">
        <w:rPr>
          <w:rFonts w:ascii="Times New Roman" w:hAnsi="Times New Roman" w:cs="Times New Roman"/>
        </w:rPr>
        <w:t>st</w:t>
      </w:r>
      <w:r w:rsidR="00463C55" w:rsidRPr="00A245DA">
        <w:rPr>
          <w:rFonts w:ascii="Times New Roman" w:hAnsi="Times New Roman" w:cs="Times New Roman"/>
        </w:rPr>
        <w:t xml:space="preserve">. </w:t>
      </w:r>
      <w:r w:rsidRPr="00A245DA">
        <w:rPr>
          <w:rFonts w:ascii="Times New Roman" w:hAnsi="Times New Roman" w:cs="Times New Roman"/>
        </w:rPr>
        <w:t xml:space="preserve"> </w:t>
      </w:r>
    </w:p>
    <w:p w14:paraId="743FD114" w14:textId="5903DF5C" w:rsidR="00463C55" w:rsidRPr="00A245DA" w:rsidRDefault="00463C55" w:rsidP="0078098E">
      <w:pPr>
        <w:pStyle w:val="NoSpacing"/>
        <w:jc w:val="both"/>
        <w:rPr>
          <w:rFonts w:ascii="Times New Roman" w:eastAsia="Times New Roman" w:hAnsi="Times New Roman" w:cs="Times New Roman"/>
        </w:rPr>
      </w:pPr>
      <w:r w:rsidRPr="00A245DA">
        <w:rPr>
          <w:rFonts w:ascii="Times New Roman" w:hAnsi="Times New Roman" w:cs="Times New Roman"/>
          <w:u w:val="single"/>
        </w:rPr>
        <w:t>Lõikes 2</w:t>
      </w:r>
      <w:r w:rsidRPr="00A245DA">
        <w:rPr>
          <w:rFonts w:ascii="Times New Roman" w:hAnsi="Times New Roman" w:cs="Times New Roman"/>
        </w:rPr>
        <w:t xml:space="preserve"> täpsustatakse maksimaal</w:t>
      </w:r>
      <w:r w:rsidR="00000DE0" w:rsidRPr="00A245DA">
        <w:rPr>
          <w:rFonts w:ascii="Times New Roman" w:hAnsi="Times New Roman" w:cs="Times New Roman"/>
        </w:rPr>
        <w:t>s</w:t>
      </w:r>
      <w:r w:rsidRPr="00A245DA">
        <w:rPr>
          <w:rFonts w:ascii="Times New Roman" w:hAnsi="Times New Roman" w:cs="Times New Roman"/>
        </w:rPr>
        <w:t>e</w:t>
      </w:r>
      <w:r w:rsidR="00000DE0" w:rsidRPr="00A245DA">
        <w:rPr>
          <w:rFonts w:ascii="Times New Roman" w:hAnsi="Times New Roman" w:cs="Times New Roman"/>
        </w:rPr>
        <w:t>t</w:t>
      </w:r>
      <w:r w:rsidRPr="00A245DA">
        <w:rPr>
          <w:rFonts w:ascii="Times New Roman" w:hAnsi="Times New Roman" w:cs="Times New Roman"/>
        </w:rPr>
        <w:t xml:space="preserve"> osakaal</w:t>
      </w:r>
      <w:r w:rsidR="00000DE0" w:rsidRPr="00A245DA">
        <w:rPr>
          <w:rFonts w:ascii="Times New Roman" w:hAnsi="Times New Roman" w:cs="Times New Roman"/>
        </w:rPr>
        <w:t>u</w:t>
      </w:r>
      <w:r w:rsidRPr="00A245DA">
        <w:rPr>
          <w:rFonts w:ascii="Times New Roman" w:hAnsi="Times New Roman" w:cs="Times New Roman"/>
        </w:rPr>
        <w:t xml:space="preserve"> eelarvest, mis suunatakse õppe- ja teadushoonete </w:t>
      </w:r>
      <w:r w:rsidR="00FE0946" w:rsidRPr="00A245DA">
        <w:rPr>
          <w:rFonts w:ascii="Times New Roman" w:hAnsi="Times New Roman" w:cs="Times New Roman"/>
        </w:rPr>
        <w:t>rajamise</w:t>
      </w:r>
      <w:r w:rsidR="00000DE0" w:rsidRPr="00A245DA">
        <w:rPr>
          <w:rFonts w:ascii="Times New Roman" w:hAnsi="Times New Roman" w:cs="Times New Roman"/>
        </w:rPr>
        <w:t>ks</w:t>
      </w:r>
      <w:r w:rsidRPr="00A245DA">
        <w:rPr>
          <w:rFonts w:ascii="Times New Roman" w:hAnsi="Times New Roman" w:cs="Times New Roman"/>
          <w:bCs/>
          <w:lang w:eastAsia="et-EE"/>
        </w:rPr>
        <w:t xml:space="preserve">. Maksimaalseks osakaaluks on kuni 44% ASTRA </w:t>
      </w:r>
      <w:r w:rsidR="00DA0B85" w:rsidRPr="00A245DA">
        <w:rPr>
          <w:rFonts w:ascii="Times New Roman" w:hAnsi="Times New Roman" w:cs="Times New Roman"/>
          <w:bCs/>
          <w:lang w:eastAsia="et-EE"/>
        </w:rPr>
        <w:t>kogu</w:t>
      </w:r>
      <w:r w:rsidRPr="00A245DA">
        <w:rPr>
          <w:rFonts w:ascii="Times New Roman" w:hAnsi="Times New Roman" w:cs="Times New Roman"/>
          <w:bCs/>
          <w:lang w:eastAsia="et-EE"/>
        </w:rPr>
        <w:t xml:space="preserve">eelarvest (kuni 57 000 000 eurot). Maksimaalse osakaalu seadmine on seotud rakenduskava tingimusega: </w:t>
      </w:r>
      <w:r w:rsidR="00AD6BC7" w:rsidRPr="00A245DA">
        <w:rPr>
          <w:rFonts w:ascii="Times New Roman" w:hAnsi="Times New Roman" w:cs="Times New Roman"/>
          <w:bCs/>
          <w:lang w:eastAsia="et-EE"/>
        </w:rPr>
        <w:t>„</w:t>
      </w:r>
      <w:r w:rsidR="00AD6BC7" w:rsidRPr="00A245DA">
        <w:rPr>
          <w:rFonts w:ascii="Times New Roman" w:eastAsia="Times New Roman" w:hAnsi="Times New Roman" w:cs="Times New Roman"/>
        </w:rPr>
        <w:t xml:space="preserve">Hoonete ehitamist  toetatakse väga üksikutel ja põhjendatud juhtudel (arvestades nutika spetsialiseerumise kasvuvaldkondade ning kõrghariduse vastutusvaldkondade arenguvajadusi). Kõiki infrastruktuuri investeeringuid käsitletakse kooskõlalisena teadus- ja õppetegevuse kvaliteedi ja inimressursi arendamise tegevustega.“ </w:t>
      </w:r>
      <w:r w:rsidR="00FE3FB9" w:rsidRPr="00A245DA">
        <w:rPr>
          <w:rFonts w:ascii="Times New Roman" w:eastAsia="Times New Roman" w:hAnsi="Times New Roman" w:cs="Times New Roman"/>
        </w:rPr>
        <w:t>Piirangu seadmine</w:t>
      </w:r>
      <w:r w:rsidR="00AD6BC7" w:rsidRPr="00A245DA">
        <w:rPr>
          <w:rFonts w:ascii="Times New Roman" w:eastAsia="Times New Roman" w:hAnsi="Times New Roman" w:cs="Times New Roman"/>
        </w:rPr>
        <w:t xml:space="preserve"> v</w:t>
      </w:r>
      <w:r w:rsidRPr="00A245DA">
        <w:rPr>
          <w:rFonts w:ascii="Times New Roman" w:eastAsia="Times New Roman" w:hAnsi="Times New Roman" w:cs="Times New Roman"/>
        </w:rPr>
        <w:t>õimalda</w:t>
      </w:r>
      <w:r w:rsidR="00FE3FB9" w:rsidRPr="00A245DA">
        <w:rPr>
          <w:rFonts w:ascii="Times New Roman" w:eastAsia="Times New Roman" w:hAnsi="Times New Roman" w:cs="Times New Roman"/>
        </w:rPr>
        <w:t>b seda printsiipi järgida ning asetada tugevam rõhuasetus</w:t>
      </w:r>
      <w:r w:rsidR="00AD6BC7" w:rsidRPr="00A245DA">
        <w:rPr>
          <w:rFonts w:ascii="Times New Roman" w:eastAsia="Times New Roman" w:hAnsi="Times New Roman" w:cs="Times New Roman"/>
        </w:rPr>
        <w:t xml:space="preserve"> teadus- ja õppetegevuse kvaliteedi ja inimressursi arendamisega seotud tegevustele. </w:t>
      </w:r>
      <w:r w:rsidRPr="00A245DA">
        <w:rPr>
          <w:rFonts w:ascii="Times New Roman" w:eastAsia="Times New Roman" w:hAnsi="Times New Roman" w:cs="Times New Roman"/>
        </w:rPr>
        <w:t xml:space="preserve"> </w:t>
      </w:r>
    </w:p>
    <w:p w14:paraId="57CB1B46" w14:textId="0CE35128" w:rsidR="00F93270" w:rsidRPr="00A245DA" w:rsidRDefault="00AD6BC7" w:rsidP="00615C7D">
      <w:pPr>
        <w:pStyle w:val="NoSpacing"/>
        <w:ind w:firstLine="708"/>
        <w:jc w:val="both"/>
        <w:rPr>
          <w:rFonts w:ascii="Times New Roman" w:hAnsi="Times New Roman" w:cs="Times New Roman"/>
          <w:lang w:eastAsia="et-EE"/>
        </w:rPr>
      </w:pPr>
      <w:r w:rsidRPr="00A245DA">
        <w:rPr>
          <w:rFonts w:ascii="Times New Roman" w:eastAsia="Times New Roman" w:hAnsi="Times New Roman" w:cs="Times New Roman"/>
          <w:u w:val="single"/>
        </w:rPr>
        <w:t>Lõikes 3</w:t>
      </w:r>
      <w:r w:rsidRPr="00A245DA">
        <w:rPr>
          <w:rFonts w:ascii="Times New Roman" w:eastAsia="Times New Roman" w:hAnsi="Times New Roman" w:cs="Times New Roman"/>
        </w:rPr>
        <w:t xml:space="preserve"> seatakse taotletava toetuse ülempiir ASTRA sisutegevustele, s.t. </w:t>
      </w:r>
      <w:r w:rsidRPr="00A245DA">
        <w:rPr>
          <w:rFonts w:ascii="Times New Roman" w:hAnsi="Times New Roman" w:cs="Times New Roman"/>
          <w:lang w:eastAsia="et-EE"/>
        </w:rPr>
        <w:t xml:space="preserve">§ 6 lõike 1 punktides 2-7 nimetatud tegevustele, jättes kõrvale </w:t>
      </w:r>
      <w:r w:rsidRPr="00A245DA">
        <w:rPr>
          <w:rFonts w:ascii="Times New Roman" w:hAnsi="Times New Roman" w:cs="Times New Roman"/>
        </w:rPr>
        <w:t xml:space="preserve">õppe- ja teadushoonete </w:t>
      </w:r>
      <w:r w:rsidR="00FE0946" w:rsidRPr="00A245DA">
        <w:rPr>
          <w:rFonts w:ascii="Times New Roman" w:hAnsi="Times New Roman" w:cs="Times New Roman"/>
        </w:rPr>
        <w:t xml:space="preserve">rajamise </w:t>
      </w:r>
      <w:r w:rsidRPr="00A245DA">
        <w:rPr>
          <w:rFonts w:ascii="Times New Roman" w:hAnsi="Times New Roman" w:cs="Times New Roman"/>
          <w:bCs/>
          <w:lang w:eastAsia="et-EE"/>
        </w:rPr>
        <w:t xml:space="preserve"> tegevused (</w:t>
      </w:r>
      <w:r w:rsidRPr="00A245DA">
        <w:rPr>
          <w:rFonts w:ascii="Times New Roman" w:hAnsi="Times New Roman" w:cs="Times New Roman"/>
          <w:lang w:eastAsia="et-EE"/>
        </w:rPr>
        <w:t xml:space="preserve">§ 6 lg 1 p 1). Hoonete </w:t>
      </w:r>
      <w:r w:rsidR="00FE3FB9" w:rsidRPr="00A245DA">
        <w:rPr>
          <w:rFonts w:ascii="Times New Roman" w:hAnsi="Times New Roman" w:cs="Times New Roman"/>
          <w:lang w:eastAsia="et-EE"/>
        </w:rPr>
        <w:t>puhul</w:t>
      </w:r>
      <w:r w:rsidRPr="00A245DA">
        <w:rPr>
          <w:rFonts w:ascii="Times New Roman" w:hAnsi="Times New Roman" w:cs="Times New Roman"/>
          <w:lang w:eastAsia="et-EE"/>
        </w:rPr>
        <w:t xml:space="preserve"> taotletava toetuse ülempiiri ei kehtestata. Sisutegevuste osas lähtutakse asutusepõhisest ülempiirist: taotletava toetuse ülempiir </w:t>
      </w:r>
      <w:r w:rsidR="004241C8" w:rsidRPr="00A245DA">
        <w:rPr>
          <w:rFonts w:ascii="Times New Roman" w:hAnsi="Times New Roman" w:cs="Times New Roman"/>
          <w:lang w:eastAsia="et-EE"/>
        </w:rPr>
        <w:t>määratakse</w:t>
      </w:r>
      <w:r w:rsidRPr="00A245DA">
        <w:rPr>
          <w:rFonts w:ascii="Times New Roman" w:hAnsi="Times New Roman" w:cs="Times New Roman"/>
          <w:lang w:eastAsia="et-EE"/>
        </w:rPr>
        <w:t xml:space="preserve"> igale teadus- ja arendusasutusele ja kõrgkoolile </w:t>
      </w:r>
      <w:r w:rsidR="004241C8" w:rsidRPr="00A245DA">
        <w:rPr>
          <w:rFonts w:ascii="Times New Roman" w:hAnsi="Times New Roman" w:cs="Times New Roman"/>
          <w:lang w:eastAsia="et-EE"/>
        </w:rPr>
        <w:t xml:space="preserve">proportsionaalselt </w:t>
      </w:r>
      <w:r w:rsidRPr="00A245DA">
        <w:rPr>
          <w:rFonts w:ascii="Times New Roman" w:hAnsi="Times New Roman" w:cs="Times New Roman"/>
          <w:lang w:eastAsia="et-EE"/>
        </w:rPr>
        <w:t xml:space="preserve">lähtuvalt perioodil 2010-2014 asutusele eraldatud teaduse baasfinantseerimise </w:t>
      </w:r>
      <w:r w:rsidR="004241C8" w:rsidRPr="00A245DA">
        <w:rPr>
          <w:rFonts w:ascii="Times New Roman" w:hAnsi="Times New Roman" w:cs="Times New Roman"/>
          <w:lang w:eastAsia="et-EE"/>
        </w:rPr>
        <w:t>ning</w:t>
      </w:r>
      <w:r w:rsidRPr="00A245DA">
        <w:rPr>
          <w:rFonts w:ascii="Times New Roman" w:hAnsi="Times New Roman" w:cs="Times New Roman"/>
          <w:lang w:eastAsia="et-EE"/>
        </w:rPr>
        <w:t xml:space="preserve"> </w:t>
      </w:r>
      <w:r w:rsidR="009F6D5E" w:rsidRPr="00A245DA">
        <w:rPr>
          <w:rFonts w:ascii="Times New Roman" w:hAnsi="Times New Roman" w:cs="Times New Roman"/>
          <w:lang w:eastAsia="et-EE"/>
        </w:rPr>
        <w:t xml:space="preserve">kõrghariduse </w:t>
      </w:r>
      <w:r w:rsidRPr="00A245DA">
        <w:rPr>
          <w:rFonts w:ascii="Times New Roman" w:hAnsi="Times New Roman" w:cs="Times New Roman"/>
          <w:lang w:eastAsia="et-EE"/>
        </w:rPr>
        <w:t xml:space="preserve">riikliku koolitustellimuse </w:t>
      </w:r>
      <w:r w:rsidR="009F6D5E" w:rsidRPr="00A245DA">
        <w:rPr>
          <w:rFonts w:ascii="Times New Roman" w:hAnsi="Times New Roman" w:cs="Times New Roman"/>
          <w:lang w:eastAsia="et-EE"/>
        </w:rPr>
        <w:t xml:space="preserve">(RKT) </w:t>
      </w:r>
      <w:r w:rsidRPr="00A245DA">
        <w:rPr>
          <w:rFonts w:ascii="Times New Roman" w:hAnsi="Times New Roman" w:cs="Times New Roman"/>
          <w:lang w:eastAsia="et-EE"/>
        </w:rPr>
        <w:t>ja  tegevustoetuse mahtudest</w:t>
      </w:r>
      <w:r w:rsidR="004241C8" w:rsidRPr="00A245DA">
        <w:rPr>
          <w:rFonts w:ascii="Times New Roman" w:hAnsi="Times New Roman" w:cs="Times New Roman"/>
          <w:lang w:eastAsia="et-EE"/>
        </w:rPr>
        <w:t xml:space="preserve">. </w:t>
      </w:r>
      <w:r w:rsidR="00F93270" w:rsidRPr="00A245DA">
        <w:rPr>
          <w:rFonts w:ascii="Times New Roman" w:hAnsi="Times New Roman" w:cs="Times New Roman"/>
          <w:lang w:eastAsia="et-EE"/>
        </w:rPr>
        <w:t xml:space="preserve">Haridus- ja Teadusministeeriumi (edaspidi </w:t>
      </w:r>
      <w:r w:rsidR="00F93270" w:rsidRPr="00A245DA">
        <w:rPr>
          <w:rFonts w:ascii="Times New Roman" w:hAnsi="Times New Roman" w:cs="Times New Roman"/>
          <w:i/>
          <w:lang w:eastAsia="et-EE"/>
        </w:rPr>
        <w:t>HTM</w:t>
      </w:r>
      <w:r w:rsidR="00F93270" w:rsidRPr="00A245DA">
        <w:rPr>
          <w:rFonts w:ascii="Times New Roman" w:hAnsi="Times New Roman" w:cs="Times New Roman"/>
          <w:lang w:eastAsia="et-EE"/>
        </w:rPr>
        <w:t>) haldusalas mitteolevate kõrgkoolide taotletava toetuse ülempiiri leidmisel lähtutakse proportsionaalselt HTM poolt vastaval perioodil eraldatud RKT ja tegevustoetuse keskmisest summast üliõpilase kohta.</w:t>
      </w:r>
    </w:p>
    <w:p w14:paraId="3B77A3BE" w14:textId="0C0C09D1" w:rsidR="00AD6BC7" w:rsidRPr="00A245DA" w:rsidRDefault="004241C8" w:rsidP="00615C7D">
      <w:pPr>
        <w:pStyle w:val="NoSpacing"/>
        <w:ind w:firstLine="708"/>
        <w:jc w:val="both"/>
        <w:rPr>
          <w:rFonts w:ascii="Times New Roman" w:hAnsi="Times New Roman" w:cs="Times New Roman"/>
        </w:rPr>
      </w:pPr>
      <w:r w:rsidRPr="00A245DA">
        <w:rPr>
          <w:rFonts w:ascii="Times New Roman" w:hAnsi="Times New Roman" w:cs="Times New Roman"/>
          <w:lang w:eastAsia="et-EE"/>
        </w:rPr>
        <w:t>Nii teaduse kui kõrghariduse finantseerimise mahud annavad võrdselt 50% taotletava toetuse ülempiirist, kuid</w:t>
      </w:r>
      <w:r w:rsidR="00AD6BC7" w:rsidRPr="00A245DA">
        <w:rPr>
          <w:rFonts w:ascii="Times New Roman" w:hAnsi="Times New Roman" w:cs="Times New Roman"/>
          <w:lang w:eastAsia="et-EE"/>
        </w:rPr>
        <w:t xml:space="preserve"> </w:t>
      </w:r>
      <w:r w:rsidRPr="00A245DA">
        <w:rPr>
          <w:rFonts w:ascii="Times New Roman" w:hAnsi="Times New Roman" w:cs="Times New Roman"/>
          <w:lang w:eastAsia="et-EE"/>
        </w:rPr>
        <w:t>a</w:t>
      </w:r>
      <w:r w:rsidR="00AD6BC7" w:rsidRPr="00A245DA">
        <w:rPr>
          <w:rFonts w:ascii="Times New Roman" w:hAnsi="Times New Roman" w:cs="Times New Roman"/>
          <w:lang w:eastAsia="et-EE"/>
        </w:rPr>
        <w:t xml:space="preserve">sutused ei ole kohustatud </w:t>
      </w:r>
      <w:r w:rsidR="00062AE7" w:rsidRPr="00A245DA">
        <w:rPr>
          <w:rFonts w:ascii="Times New Roman" w:hAnsi="Times New Roman" w:cs="Times New Roman"/>
          <w:lang w:eastAsia="et-EE"/>
        </w:rPr>
        <w:t xml:space="preserve">arvestuslikku </w:t>
      </w:r>
      <w:r w:rsidR="00AD6BC7" w:rsidRPr="00A245DA">
        <w:rPr>
          <w:rFonts w:ascii="Times New Roman" w:hAnsi="Times New Roman" w:cs="Times New Roman"/>
          <w:lang w:eastAsia="et-EE"/>
        </w:rPr>
        <w:t xml:space="preserve">proportsiooni </w:t>
      </w:r>
      <w:r w:rsidR="00B22B48" w:rsidRPr="00A245DA">
        <w:rPr>
          <w:rFonts w:ascii="Times New Roman" w:hAnsi="Times New Roman" w:cs="Times New Roman"/>
          <w:lang w:eastAsia="et-EE"/>
        </w:rPr>
        <w:t xml:space="preserve">ettepaneku koostamisel järgima, sisemine jaotus teadus- ja kõrgharidusvaldkonda puudutavate tegevuste ja eelarve osas on asutuse otsustada. Asutusepõhine ülempiiri seadmine võimaldab toetuse eraldamisel arvestada asutuste eripärasid, sh </w:t>
      </w:r>
      <w:r w:rsidR="00062AE7" w:rsidRPr="00A245DA">
        <w:rPr>
          <w:rFonts w:ascii="Times New Roman" w:hAnsi="Times New Roman" w:cs="Times New Roman"/>
          <w:lang w:eastAsia="et-EE"/>
        </w:rPr>
        <w:t xml:space="preserve">hõlmatust </w:t>
      </w:r>
      <w:r w:rsidR="00FE3FB9" w:rsidRPr="00A245DA">
        <w:rPr>
          <w:rFonts w:ascii="Times New Roman" w:hAnsi="Times New Roman" w:cs="Times New Roman"/>
          <w:lang w:eastAsia="et-EE"/>
        </w:rPr>
        <w:t xml:space="preserve">teadus- </w:t>
      </w:r>
      <w:r w:rsidR="00062AE7" w:rsidRPr="00A245DA">
        <w:rPr>
          <w:rFonts w:ascii="Times New Roman" w:hAnsi="Times New Roman" w:cs="Times New Roman"/>
          <w:lang w:eastAsia="et-EE"/>
        </w:rPr>
        <w:t>või</w:t>
      </w:r>
      <w:r w:rsidR="00FE3FB9" w:rsidRPr="00A245DA">
        <w:rPr>
          <w:rFonts w:ascii="Times New Roman" w:hAnsi="Times New Roman" w:cs="Times New Roman"/>
          <w:lang w:eastAsia="et-EE"/>
        </w:rPr>
        <w:t xml:space="preserve"> õppetegevuse</w:t>
      </w:r>
      <w:r w:rsidR="00062AE7" w:rsidRPr="00A245DA">
        <w:rPr>
          <w:rFonts w:ascii="Times New Roman" w:hAnsi="Times New Roman" w:cs="Times New Roman"/>
          <w:lang w:eastAsia="et-EE"/>
        </w:rPr>
        <w:t>ga</w:t>
      </w:r>
      <w:r w:rsidR="00FE3FB9" w:rsidRPr="00A245DA">
        <w:rPr>
          <w:rFonts w:ascii="Times New Roman" w:hAnsi="Times New Roman" w:cs="Times New Roman"/>
          <w:lang w:eastAsia="et-EE"/>
        </w:rPr>
        <w:t>, asutuse suurust</w:t>
      </w:r>
      <w:r w:rsidR="00062AE7" w:rsidRPr="00A245DA">
        <w:rPr>
          <w:rFonts w:ascii="Times New Roman" w:hAnsi="Times New Roman" w:cs="Times New Roman"/>
          <w:lang w:eastAsia="et-EE"/>
        </w:rPr>
        <w:t>, vastutusvaldkondade ulatust</w:t>
      </w:r>
      <w:r w:rsidR="00FE3FB9" w:rsidRPr="00A245DA">
        <w:rPr>
          <w:rFonts w:ascii="Times New Roman" w:hAnsi="Times New Roman" w:cs="Times New Roman"/>
          <w:lang w:eastAsia="et-EE"/>
        </w:rPr>
        <w:t xml:space="preserve"> jm</w:t>
      </w:r>
      <w:r w:rsidR="00B22B48" w:rsidRPr="00A245DA">
        <w:rPr>
          <w:rFonts w:ascii="Times New Roman" w:hAnsi="Times New Roman" w:cs="Times New Roman"/>
          <w:lang w:eastAsia="et-EE"/>
        </w:rPr>
        <w:t xml:space="preserve">. </w:t>
      </w:r>
      <w:r w:rsidR="00541D9C" w:rsidRPr="00A245DA">
        <w:rPr>
          <w:rFonts w:ascii="Times New Roman" w:hAnsi="Times New Roman" w:cs="Times New Roman"/>
          <w:lang w:eastAsia="et-EE"/>
        </w:rPr>
        <w:t xml:space="preserve">Asutuste taotletava toetuse ülempiiride summa on 20% suurem ASTRA toetuse eelarvest. </w:t>
      </w:r>
      <w:r w:rsidR="00062AE7" w:rsidRPr="00A245DA">
        <w:rPr>
          <w:rFonts w:ascii="Times New Roman" w:hAnsi="Times New Roman" w:cs="Times New Roman"/>
          <w:lang w:eastAsia="et-EE"/>
        </w:rPr>
        <w:t xml:space="preserve">Taotletavale toetusele ülempiiride seadmine aitab kaasa asutuste poolt realistlike taotluste esitamisele ja vähendab administratiivkoormust ettepanekute hindamisel. </w:t>
      </w:r>
      <w:r w:rsidR="00B22B48" w:rsidRPr="00A245DA">
        <w:rPr>
          <w:rFonts w:ascii="Times New Roman" w:hAnsi="Times New Roman" w:cs="Times New Roman"/>
          <w:lang w:eastAsia="et-EE"/>
        </w:rPr>
        <w:t xml:space="preserve">Igale asutusele määratud taotletava toetuse ülempiir </w:t>
      </w:r>
      <w:r w:rsidR="00062AE7" w:rsidRPr="00A245DA">
        <w:rPr>
          <w:rFonts w:ascii="Times New Roman" w:hAnsi="Times New Roman" w:cs="Times New Roman"/>
          <w:lang w:eastAsia="et-EE"/>
        </w:rPr>
        <w:t>teatatakse asutustele</w:t>
      </w:r>
      <w:r w:rsidR="00B22B48" w:rsidRPr="00A245DA">
        <w:rPr>
          <w:rFonts w:ascii="Times New Roman" w:hAnsi="Times New Roman" w:cs="Times New Roman"/>
          <w:lang w:eastAsia="et-EE"/>
        </w:rPr>
        <w:t xml:space="preserve"> ettepanekute kogumise väljakuulutamisel</w:t>
      </w:r>
      <w:r w:rsidR="00062AE7" w:rsidRPr="00A245DA">
        <w:rPr>
          <w:rFonts w:ascii="Times New Roman" w:hAnsi="Times New Roman" w:cs="Times New Roman"/>
          <w:lang w:eastAsia="et-EE"/>
        </w:rPr>
        <w:t xml:space="preserve"> (§ 10 lg 2)</w:t>
      </w:r>
      <w:r w:rsidR="00B22B48" w:rsidRPr="00A245DA">
        <w:rPr>
          <w:rFonts w:ascii="Times New Roman" w:hAnsi="Times New Roman" w:cs="Times New Roman"/>
          <w:lang w:eastAsia="et-EE"/>
        </w:rPr>
        <w:t xml:space="preserve">. </w:t>
      </w:r>
      <w:r w:rsidR="00E24727" w:rsidRPr="00A245DA">
        <w:rPr>
          <w:rFonts w:ascii="Times New Roman" w:hAnsi="Times New Roman" w:cs="Times New Roman"/>
          <w:lang w:eastAsia="et-EE"/>
        </w:rPr>
        <w:t xml:space="preserve">Rakendusasutusele jääb </w:t>
      </w:r>
      <w:r w:rsidR="00963B53" w:rsidRPr="00A245DA">
        <w:rPr>
          <w:rFonts w:ascii="Times New Roman" w:hAnsi="Times New Roman" w:cs="Times New Roman"/>
          <w:lang w:eastAsia="et-EE"/>
        </w:rPr>
        <w:t xml:space="preserve">põhjendatud juhtudel </w:t>
      </w:r>
      <w:r w:rsidR="00E24727" w:rsidRPr="00A245DA">
        <w:rPr>
          <w:rFonts w:ascii="Times New Roman" w:hAnsi="Times New Roman" w:cs="Times New Roman"/>
          <w:lang w:eastAsia="et-EE"/>
        </w:rPr>
        <w:t>õigus suurendada asutuse taotletava toetuse ülempiiri</w:t>
      </w:r>
      <w:r w:rsidR="00963B53" w:rsidRPr="00A245DA">
        <w:rPr>
          <w:rFonts w:ascii="Times New Roman" w:hAnsi="Times New Roman" w:cs="Times New Roman"/>
          <w:lang w:eastAsia="et-EE"/>
        </w:rPr>
        <w:t>,</w:t>
      </w:r>
      <w:r w:rsidR="00E24727" w:rsidRPr="00A245DA">
        <w:rPr>
          <w:rFonts w:ascii="Times New Roman" w:hAnsi="Times New Roman" w:cs="Times New Roman"/>
          <w:lang w:eastAsia="et-EE"/>
        </w:rPr>
        <w:t xml:space="preserve"> </w:t>
      </w:r>
      <w:r w:rsidR="00963B53" w:rsidRPr="00A245DA">
        <w:rPr>
          <w:rFonts w:ascii="Times New Roman" w:hAnsi="Times New Roman" w:cs="Times New Roman"/>
          <w:lang w:eastAsia="et-EE"/>
        </w:rPr>
        <w:t xml:space="preserve">nt juhul, </w:t>
      </w:r>
      <w:r w:rsidR="00E24727" w:rsidRPr="00A245DA">
        <w:rPr>
          <w:rFonts w:ascii="Times New Roman" w:hAnsi="Times New Roman" w:cs="Times New Roman"/>
          <w:lang w:eastAsia="et-EE"/>
        </w:rPr>
        <w:t xml:space="preserve">kui asutus soovib teise asutusega ühineda. </w:t>
      </w:r>
      <w:r w:rsidR="00B22B48" w:rsidRPr="00A245DA">
        <w:rPr>
          <w:rFonts w:ascii="Times New Roman" w:hAnsi="Times New Roman" w:cs="Times New Roman"/>
        </w:rPr>
        <w:t xml:space="preserve">Asutuste lõplikud toetussummad kujunevad siiski sõltuvalt projektide hindamise ja läbirääkimiste tulemustest, mida on lähemalt kirjeldatud § </w:t>
      </w:r>
      <w:r w:rsidR="00963B53" w:rsidRPr="00A245DA">
        <w:rPr>
          <w:rFonts w:ascii="Times New Roman" w:hAnsi="Times New Roman" w:cs="Times New Roman"/>
        </w:rPr>
        <w:t>14</w:t>
      </w:r>
      <w:r w:rsidR="00B22B48" w:rsidRPr="00A245DA">
        <w:rPr>
          <w:rFonts w:ascii="Times New Roman" w:hAnsi="Times New Roman" w:cs="Times New Roman"/>
        </w:rPr>
        <w:t xml:space="preserve"> juures. </w:t>
      </w:r>
    </w:p>
    <w:p w14:paraId="1BAAAD0D" w14:textId="79FFFF48" w:rsidR="00444D0A" w:rsidRPr="00A245DA" w:rsidRDefault="00B22B48" w:rsidP="00615C7D">
      <w:pPr>
        <w:pStyle w:val="NoSpacing"/>
        <w:ind w:firstLine="708"/>
        <w:jc w:val="both"/>
        <w:rPr>
          <w:rFonts w:ascii="Times New Roman" w:hAnsi="Times New Roman" w:cs="Times New Roman"/>
        </w:rPr>
      </w:pPr>
      <w:r w:rsidRPr="00A245DA">
        <w:rPr>
          <w:rFonts w:ascii="Times New Roman" w:hAnsi="Times New Roman" w:cs="Times New Roman"/>
          <w:u w:val="single"/>
        </w:rPr>
        <w:t>Lõikes 4</w:t>
      </w:r>
      <w:r w:rsidRPr="00A245DA">
        <w:rPr>
          <w:rFonts w:ascii="Times New Roman" w:hAnsi="Times New Roman" w:cs="Times New Roman"/>
        </w:rPr>
        <w:t xml:space="preserve"> sätestatakse </w:t>
      </w:r>
      <w:r w:rsidR="00D53A82" w:rsidRPr="00A245DA">
        <w:rPr>
          <w:rFonts w:ascii="Times New Roman" w:hAnsi="Times New Roman" w:cs="Times New Roman"/>
        </w:rPr>
        <w:t>toetuse osakaal</w:t>
      </w:r>
      <w:r w:rsidRPr="00A245DA">
        <w:rPr>
          <w:rFonts w:ascii="Times New Roman" w:hAnsi="Times New Roman" w:cs="Times New Roman"/>
        </w:rPr>
        <w:t>uks kuni 95% abikõlblike kulude maksumusest</w:t>
      </w:r>
      <w:r w:rsidR="00444D0A" w:rsidRPr="00A245DA">
        <w:rPr>
          <w:rFonts w:ascii="Times New Roman" w:hAnsi="Times New Roman" w:cs="Times New Roman"/>
        </w:rPr>
        <w:t xml:space="preserve">. Toetuse maksimaalset piirmäära arvestatakse eraldi investeeringute (§ 6 lg 1 p 1) ja sisutegevuste lõikes. </w:t>
      </w:r>
      <w:r w:rsidR="00444D0A" w:rsidRPr="00A245DA">
        <w:rPr>
          <w:rFonts w:ascii="Times New Roman" w:hAnsi="Times New Roman" w:cs="Times New Roman"/>
        </w:rPr>
        <w:lastRenderedPageBreak/>
        <w:t>Sisutegevuste (§ 6 lg 1 punktides 2-7 nimetatud toetatavad tegevused) puhul toimub toetuse maksimaalse piirmäära arvestamine kogumina.</w:t>
      </w:r>
    </w:p>
    <w:p w14:paraId="185592AB" w14:textId="29849277" w:rsidR="00DE35D4" w:rsidRPr="00A245DA" w:rsidRDefault="00444D0A" w:rsidP="00615C7D">
      <w:pPr>
        <w:pStyle w:val="NoSpacing"/>
        <w:ind w:firstLine="708"/>
        <w:jc w:val="both"/>
        <w:rPr>
          <w:rFonts w:ascii="Times New Roman" w:hAnsi="Times New Roman" w:cs="Times New Roman"/>
        </w:rPr>
      </w:pPr>
      <w:r w:rsidRPr="00A245DA">
        <w:rPr>
          <w:rFonts w:ascii="Times New Roman" w:hAnsi="Times New Roman" w:cs="Times New Roman"/>
          <w:u w:val="single"/>
        </w:rPr>
        <w:t>L</w:t>
      </w:r>
      <w:r w:rsidR="00B22B48" w:rsidRPr="00A245DA">
        <w:rPr>
          <w:rFonts w:ascii="Times New Roman" w:hAnsi="Times New Roman" w:cs="Times New Roman"/>
          <w:u w:val="single"/>
        </w:rPr>
        <w:t>õikes 5</w:t>
      </w:r>
      <w:r w:rsidR="00B22B48" w:rsidRPr="00A245DA">
        <w:rPr>
          <w:rFonts w:ascii="Times New Roman" w:hAnsi="Times New Roman" w:cs="Times New Roman"/>
        </w:rPr>
        <w:t xml:space="preserve"> seatakse tingimuseks, et omafinantseering </w:t>
      </w:r>
      <w:r w:rsidR="00DE35D4" w:rsidRPr="00A245DA">
        <w:rPr>
          <w:rFonts w:ascii="Times New Roman" w:hAnsi="Times New Roman" w:cs="Times New Roman"/>
        </w:rPr>
        <w:t>(</w:t>
      </w:r>
      <w:r w:rsidR="00062AE7" w:rsidRPr="00A245DA">
        <w:rPr>
          <w:rFonts w:ascii="Times New Roman" w:hAnsi="Times New Roman" w:cs="Times New Roman"/>
        </w:rPr>
        <w:t xml:space="preserve">vähemalt </w:t>
      </w:r>
      <w:r w:rsidR="00DE35D4" w:rsidRPr="00A245DA">
        <w:rPr>
          <w:rFonts w:ascii="Times New Roman" w:hAnsi="Times New Roman" w:cs="Times New Roman"/>
        </w:rPr>
        <w:t xml:space="preserve">5% abikõlblike kulude maksumusest) </w:t>
      </w:r>
      <w:r w:rsidR="00B22B48" w:rsidRPr="00A245DA">
        <w:rPr>
          <w:rFonts w:ascii="Times New Roman" w:hAnsi="Times New Roman" w:cs="Times New Roman"/>
        </w:rPr>
        <w:t xml:space="preserve">peab katma </w:t>
      </w:r>
      <w:r w:rsidR="00BC5E99" w:rsidRPr="00A245DA">
        <w:rPr>
          <w:rFonts w:ascii="Times New Roman" w:hAnsi="Times New Roman" w:cs="Times New Roman"/>
        </w:rPr>
        <w:t xml:space="preserve">projekti kuludest </w:t>
      </w:r>
      <w:r w:rsidR="00B22B48" w:rsidRPr="00A245DA">
        <w:rPr>
          <w:rFonts w:ascii="Times New Roman" w:hAnsi="Times New Roman" w:cs="Times New Roman"/>
        </w:rPr>
        <w:t xml:space="preserve">selle osa, mida toetus ei kata.  </w:t>
      </w:r>
    </w:p>
    <w:p w14:paraId="58C6522F" w14:textId="68BC8878" w:rsidR="00A6617D" w:rsidRPr="00A245DA" w:rsidRDefault="00A6617D" w:rsidP="00337589">
      <w:pPr>
        <w:spacing w:before="0" w:after="0"/>
        <w:ind w:firstLine="708"/>
        <w:rPr>
          <w:rFonts w:ascii="Times New Roman" w:eastAsia="Calibri" w:hAnsi="Times New Roman"/>
        </w:rPr>
      </w:pPr>
      <w:r w:rsidRPr="00A245DA">
        <w:rPr>
          <w:rFonts w:ascii="Times New Roman" w:eastAsia="Calibri" w:hAnsi="Times New Roman"/>
          <w:u w:val="single"/>
        </w:rPr>
        <w:t>Lõikes 6</w:t>
      </w:r>
      <w:r w:rsidRPr="00A245DA">
        <w:rPr>
          <w:rFonts w:ascii="Times New Roman" w:eastAsia="Calibri" w:hAnsi="Times New Roman"/>
        </w:rPr>
        <w:t xml:space="preserve"> on täpsustatud, et riigiabi puhul pea</w:t>
      </w:r>
      <w:r w:rsidR="00864AB9" w:rsidRPr="00A245DA">
        <w:rPr>
          <w:rFonts w:ascii="Times New Roman" w:eastAsia="Calibri" w:hAnsi="Times New Roman"/>
        </w:rPr>
        <w:t>vad</w:t>
      </w:r>
      <w:r w:rsidRPr="00A245DA">
        <w:rPr>
          <w:rFonts w:ascii="Times New Roman" w:eastAsia="Calibri" w:hAnsi="Times New Roman"/>
        </w:rPr>
        <w:t xml:space="preserve"> määruse § </w:t>
      </w:r>
      <w:r w:rsidR="006C6D47" w:rsidRPr="00A245DA">
        <w:rPr>
          <w:rFonts w:ascii="Times New Roman" w:eastAsia="Calibri" w:hAnsi="Times New Roman"/>
        </w:rPr>
        <w:t xml:space="preserve">7 </w:t>
      </w:r>
      <w:r w:rsidRPr="00A245DA">
        <w:rPr>
          <w:rFonts w:ascii="Times New Roman" w:eastAsia="Calibri" w:hAnsi="Times New Roman"/>
        </w:rPr>
        <w:t xml:space="preserve">lõikes </w:t>
      </w:r>
      <w:r w:rsidR="006C6D47" w:rsidRPr="00A245DA">
        <w:rPr>
          <w:rFonts w:ascii="Times New Roman" w:eastAsia="Calibri" w:hAnsi="Times New Roman"/>
        </w:rPr>
        <w:t xml:space="preserve">2 </w:t>
      </w:r>
      <w:r w:rsidRPr="00A245DA">
        <w:rPr>
          <w:rFonts w:ascii="Times New Roman" w:eastAsia="Calibri" w:hAnsi="Times New Roman"/>
        </w:rPr>
        <w:t xml:space="preserve">nimetatud tegevuste abikõlblikud kulud ja maksimaalne summa ühe toetuse saaja kohta vastama üldise grupierandi määruse artiklis  26 toodud tingimustele. Sellest tulenevalt saab majandustegevuseks kasutatavat teadusinfrastruktuuri toetada kuni 50% ulatuses, ülejäänud 50% peab olema omafinantseering. </w:t>
      </w:r>
    </w:p>
    <w:p w14:paraId="0228906F" w14:textId="77777777" w:rsidR="00DE35D4" w:rsidRPr="00A245DA" w:rsidRDefault="00DE35D4" w:rsidP="00AD6BC7">
      <w:pPr>
        <w:pStyle w:val="NoSpacing"/>
        <w:jc w:val="both"/>
        <w:rPr>
          <w:rFonts w:ascii="Times New Roman" w:hAnsi="Times New Roman" w:cs="Times New Roman"/>
        </w:rPr>
      </w:pPr>
    </w:p>
    <w:p w14:paraId="582F64FE" w14:textId="7635BCCD" w:rsidR="00F93270" w:rsidRPr="00A245DA" w:rsidRDefault="00F93270" w:rsidP="00F93270">
      <w:pPr>
        <w:pStyle w:val="NoSpacing"/>
        <w:rPr>
          <w:rFonts w:ascii="Times New Roman" w:hAnsi="Times New Roman" w:cs="Times New Roman"/>
          <w:bCs/>
        </w:rPr>
      </w:pPr>
      <w:r w:rsidRPr="00A245DA">
        <w:rPr>
          <w:rFonts w:ascii="Times New Roman" w:hAnsi="Times New Roman" w:cs="Times New Roman"/>
          <w:b/>
          <w:bCs/>
          <w:u w:val="single"/>
        </w:rPr>
        <w:t xml:space="preserve">3. peatükk </w:t>
      </w:r>
      <w:r w:rsidR="00963B53" w:rsidRPr="00A245DA">
        <w:rPr>
          <w:rFonts w:ascii="Times New Roman" w:hAnsi="Times New Roman" w:cs="Times New Roman"/>
          <w:b/>
          <w:bCs/>
          <w:u w:val="single"/>
        </w:rPr>
        <w:t>E</w:t>
      </w:r>
      <w:r w:rsidR="009F6D5E" w:rsidRPr="00A245DA">
        <w:rPr>
          <w:rFonts w:ascii="Times New Roman" w:hAnsi="Times New Roman" w:cs="Times New Roman"/>
          <w:b/>
          <w:bCs/>
          <w:u w:val="single"/>
        </w:rPr>
        <w:t>ttepaneku esitamine ja hindamine</w:t>
      </w:r>
      <w:r w:rsidRPr="00A245DA">
        <w:rPr>
          <w:rFonts w:ascii="Times New Roman" w:hAnsi="Times New Roman" w:cs="Times New Roman"/>
          <w:bCs/>
        </w:rPr>
        <w:t xml:space="preserve"> </w:t>
      </w:r>
    </w:p>
    <w:p w14:paraId="2D424828" w14:textId="5100ABC8" w:rsidR="00F93270" w:rsidRPr="00A245DA" w:rsidRDefault="00F93270" w:rsidP="00F93270">
      <w:pPr>
        <w:pStyle w:val="VahedetaTimes12"/>
        <w:jc w:val="both"/>
        <w:rPr>
          <w:sz w:val="22"/>
          <w:szCs w:val="22"/>
        </w:rPr>
      </w:pPr>
      <w:r w:rsidRPr="00A245DA">
        <w:rPr>
          <w:sz w:val="22"/>
          <w:szCs w:val="22"/>
        </w:rPr>
        <w:t xml:space="preserve">Eelnõu 3. peatükis kirjeldatakse </w:t>
      </w:r>
      <w:r w:rsidR="009F6D5E" w:rsidRPr="00A245DA">
        <w:rPr>
          <w:sz w:val="22"/>
          <w:szCs w:val="22"/>
        </w:rPr>
        <w:t>ettepaneku esitamist, ettepanekule esitatavaid nõudeid</w:t>
      </w:r>
      <w:r w:rsidR="009B47D3" w:rsidRPr="00A245DA">
        <w:rPr>
          <w:sz w:val="22"/>
          <w:szCs w:val="22"/>
        </w:rPr>
        <w:t>,</w:t>
      </w:r>
      <w:r w:rsidRPr="00A245DA">
        <w:rPr>
          <w:sz w:val="22"/>
          <w:szCs w:val="22"/>
        </w:rPr>
        <w:t xml:space="preserve"> </w:t>
      </w:r>
      <w:r w:rsidR="009B47D3" w:rsidRPr="00A245DA">
        <w:rPr>
          <w:sz w:val="22"/>
          <w:szCs w:val="22"/>
        </w:rPr>
        <w:t>hindamis- ja</w:t>
      </w:r>
      <w:r w:rsidRPr="00A245DA">
        <w:rPr>
          <w:sz w:val="22"/>
          <w:szCs w:val="22"/>
        </w:rPr>
        <w:t xml:space="preserve"> valikukriteeriume </w:t>
      </w:r>
      <w:r w:rsidR="009B47D3" w:rsidRPr="00A245DA">
        <w:rPr>
          <w:sz w:val="22"/>
          <w:szCs w:val="22"/>
        </w:rPr>
        <w:t>ning</w:t>
      </w:r>
      <w:r w:rsidRPr="00A245DA">
        <w:rPr>
          <w:sz w:val="22"/>
          <w:szCs w:val="22"/>
        </w:rPr>
        <w:t xml:space="preserve"> </w:t>
      </w:r>
      <w:r w:rsidR="004C6B89" w:rsidRPr="00A245DA">
        <w:rPr>
          <w:sz w:val="22"/>
          <w:szCs w:val="22"/>
        </w:rPr>
        <w:t>-</w:t>
      </w:r>
      <w:r w:rsidRPr="00A245DA">
        <w:rPr>
          <w:sz w:val="22"/>
          <w:szCs w:val="22"/>
        </w:rPr>
        <w:t>metoodikat.</w:t>
      </w:r>
    </w:p>
    <w:p w14:paraId="1FC313B0" w14:textId="77777777" w:rsidR="00C936C2" w:rsidRPr="00A245DA" w:rsidRDefault="00C936C2" w:rsidP="00F93270">
      <w:pPr>
        <w:pStyle w:val="VahedetaTimes12"/>
        <w:jc w:val="both"/>
        <w:rPr>
          <w:sz w:val="22"/>
          <w:szCs w:val="22"/>
          <w:u w:val="single"/>
        </w:rPr>
      </w:pPr>
    </w:p>
    <w:p w14:paraId="62D6DEE0" w14:textId="2B8EF882" w:rsidR="00F93270" w:rsidRPr="00A245DA" w:rsidRDefault="00F93270" w:rsidP="00F93270">
      <w:pPr>
        <w:pStyle w:val="VahedetaTimes12"/>
        <w:jc w:val="both"/>
        <w:rPr>
          <w:sz w:val="22"/>
          <w:szCs w:val="22"/>
        </w:rPr>
      </w:pPr>
      <w:r w:rsidRPr="00A245DA">
        <w:rPr>
          <w:sz w:val="22"/>
          <w:szCs w:val="22"/>
          <w:u w:val="single"/>
        </w:rPr>
        <w:t>§-s 1</w:t>
      </w:r>
      <w:r w:rsidR="002D7430" w:rsidRPr="00A245DA">
        <w:rPr>
          <w:sz w:val="22"/>
          <w:szCs w:val="22"/>
          <w:u w:val="single"/>
        </w:rPr>
        <w:t>0</w:t>
      </w:r>
      <w:r w:rsidRPr="00A245DA">
        <w:rPr>
          <w:sz w:val="22"/>
          <w:szCs w:val="22"/>
          <w:u w:val="single"/>
        </w:rPr>
        <w:t xml:space="preserve"> </w:t>
      </w:r>
      <w:r w:rsidRPr="00A245DA">
        <w:rPr>
          <w:sz w:val="22"/>
          <w:szCs w:val="22"/>
        </w:rPr>
        <w:t xml:space="preserve">määratletakse ettepanekute esitajatena võimalike toetuse saajate sihtgrupp. </w:t>
      </w:r>
      <w:r w:rsidR="00DC65EE" w:rsidRPr="00A245DA">
        <w:rPr>
          <w:sz w:val="22"/>
          <w:szCs w:val="22"/>
        </w:rPr>
        <w:t xml:space="preserve">Sihtgrupp on valitud toetuse andmise eesmärgi järgi, milleks on riigi vastutusel oleva </w:t>
      </w:r>
      <w:r w:rsidR="00E36020" w:rsidRPr="00A245DA">
        <w:rPr>
          <w:sz w:val="22"/>
          <w:szCs w:val="22"/>
        </w:rPr>
        <w:t xml:space="preserve">avaliku </w:t>
      </w:r>
      <w:r w:rsidR="00DC65EE" w:rsidRPr="00A245DA">
        <w:rPr>
          <w:sz w:val="22"/>
          <w:szCs w:val="22"/>
        </w:rPr>
        <w:t xml:space="preserve">teadus- ja arendus- ning kõrgharidussüsteemi reformimine. Toetust võivad taotleda kõik õppeasutused, kes saavad riigilt tegevustoetust, ja </w:t>
      </w:r>
      <w:r w:rsidR="001477FA" w:rsidRPr="00A245DA">
        <w:rPr>
          <w:sz w:val="22"/>
          <w:szCs w:val="22"/>
        </w:rPr>
        <w:t>teadus-arendus</w:t>
      </w:r>
      <w:r w:rsidR="00DC65EE" w:rsidRPr="00A245DA">
        <w:rPr>
          <w:sz w:val="22"/>
          <w:szCs w:val="22"/>
        </w:rPr>
        <w:t xml:space="preserve">asutused, kes </w:t>
      </w:r>
      <w:r w:rsidR="00451B82" w:rsidRPr="00A245DA">
        <w:rPr>
          <w:sz w:val="22"/>
          <w:szCs w:val="22"/>
        </w:rPr>
        <w:t>on saanud</w:t>
      </w:r>
      <w:r w:rsidR="00752089" w:rsidRPr="00A245DA">
        <w:rPr>
          <w:sz w:val="22"/>
          <w:szCs w:val="22"/>
        </w:rPr>
        <w:t xml:space="preserve"> </w:t>
      </w:r>
      <w:r w:rsidR="00DC65EE" w:rsidRPr="00A245DA">
        <w:rPr>
          <w:sz w:val="22"/>
          <w:szCs w:val="22"/>
        </w:rPr>
        <w:t xml:space="preserve">riigilt teaduse baasfinantseerimise toetust. </w:t>
      </w:r>
      <w:r w:rsidR="00451B82" w:rsidRPr="00A245DA">
        <w:rPr>
          <w:sz w:val="22"/>
          <w:szCs w:val="22"/>
        </w:rPr>
        <w:t xml:space="preserve">Eraõiguslikud </w:t>
      </w:r>
      <w:r w:rsidR="001477FA" w:rsidRPr="00A245DA">
        <w:rPr>
          <w:sz w:val="22"/>
          <w:szCs w:val="22"/>
        </w:rPr>
        <w:t>teadus- ja arendus</w:t>
      </w:r>
      <w:r w:rsidR="00451B82" w:rsidRPr="00A245DA">
        <w:rPr>
          <w:sz w:val="22"/>
          <w:szCs w:val="22"/>
        </w:rPr>
        <w:t>as</w:t>
      </w:r>
      <w:r w:rsidR="00752089" w:rsidRPr="00A245DA">
        <w:rPr>
          <w:sz w:val="22"/>
          <w:szCs w:val="22"/>
        </w:rPr>
        <w:t>u</w:t>
      </w:r>
      <w:r w:rsidR="00451B82" w:rsidRPr="00A245DA">
        <w:rPr>
          <w:sz w:val="22"/>
          <w:szCs w:val="22"/>
        </w:rPr>
        <w:t>tused ASTRA sihtgruppi ei kuulu, kuna</w:t>
      </w:r>
      <w:r w:rsidR="00867B65" w:rsidRPr="00A245DA">
        <w:rPr>
          <w:sz w:val="22"/>
          <w:szCs w:val="22"/>
        </w:rPr>
        <w:t xml:space="preserve"> tulenevalt ASTRA eesmärgist ja fookusest ei ole riik eraõiguslike asutuste puhul omanik ega vastutav asutuse eesmärkide</w:t>
      </w:r>
      <w:r w:rsidR="00752089" w:rsidRPr="00A245DA">
        <w:rPr>
          <w:sz w:val="22"/>
          <w:szCs w:val="22"/>
        </w:rPr>
        <w:t xml:space="preserve"> täitmise ega asutuse</w:t>
      </w:r>
      <w:r w:rsidR="00867B65" w:rsidRPr="00A245DA">
        <w:rPr>
          <w:sz w:val="22"/>
          <w:szCs w:val="22"/>
        </w:rPr>
        <w:t xml:space="preserve"> arendamise eest.</w:t>
      </w:r>
      <w:r w:rsidR="00451B82" w:rsidRPr="00A245DA">
        <w:rPr>
          <w:sz w:val="22"/>
          <w:szCs w:val="22"/>
        </w:rPr>
        <w:t xml:space="preserve"> </w:t>
      </w:r>
      <w:r w:rsidR="001477FA" w:rsidRPr="00A245DA">
        <w:rPr>
          <w:sz w:val="22"/>
          <w:szCs w:val="22"/>
        </w:rPr>
        <w:t>Teadus- ja arendus</w:t>
      </w:r>
      <w:r w:rsidRPr="00A245DA">
        <w:rPr>
          <w:sz w:val="22"/>
          <w:szCs w:val="22"/>
        </w:rPr>
        <w:t xml:space="preserve">asutused kvalifitseeruvad toetuse saajatena juhul, kui nad on viimase 5 aasta jooksul ehk aastail 2010-2014 saanud riigilt teaduse baasfinantseerimise toetust. </w:t>
      </w:r>
      <w:r w:rsidR="00717546" w:rsidRPr="00A245DA">
        <w:rPr>
          <w:sz w:val="22"/>
          <w:szCs w:val="22"/>
        </w:rPr>
        <w:t xml:space="preserve">Õppeasutustest saavad HTM-lt kõrgharidusõppe läbiviimiseks tegevustoetust kõik avalik-õiguslikud ülikoolid ja 6 HTM hallatavat rakenduskõrgkooli. </w:t>
      </w:r>
      <w:r w:rsidRPr="00A245DA">
        <w:rPr>
          <w:sz w:val="22"/>
          <w:szCs w:val="22"/>
        </w:rPr>
        <w:t xml:space="preserve">Riigi asutatud sihtasutuse koosseisus tegutseva kõrgkoolina </w:t>
      </w:r>
      <w:r w:rsidR="00752089" w:rsidRPr="00A245DA">
        <w:rPr>
          <w:sz w:val="22"/>
          <w:szCs w:val="22"/>
        </w:rPr>
        <w:t xml:space="preserve"> </w:t>
      </w:r>
      <w:r w:rsidR="00717546" w:rsidRPr="00A245DA">
        <w:rPr>
          <w:sz w:val="22"/>
          <w:szCs w:val="22"/>
        </w:rPr>
        <w:t>saab tegevustoetust</w:t>
      </w:r>
      <w:r w:rsidRPr="00A245DA">
        <w:rPr>
          <w:sz w:val="22"/>
          <w:szCs w:val="22"/>
        </w:rPr>
        <w:t xml:space="preserve"> SA HITSA hallatav Eesti Infotehnoloogia Kolledž. </w:t>
      </w:r>
      <w:r w:rsidR="00717546" w:rsidRPr="00A245DA">
        <w:rPr>
          <w:sz w:val="22"/>
          <w:szCs w:val="22"/>
        </w:rPr>
        <w:t xml:space="preserve">Sihtgruppi kuuluvad ka Kaitseväe Ühendatud Õppeasutused ja Sisekaitseakadeemia, keda riik toetab vastavalt Kaitse- ja Siseministeeriumi kaudu. </w:t>
      </w:r>
      <w:r w:rsidRPr="00A245DA">
        <w:rPr>
          <w:sz w:val="22"/>
          <w:szCs w:val="22"/>
        </w:rPr>
        <w:t>Kokku on potentsiaalseid toetuse taotlejaid 24, millest 6 on avalik-õiguslikud ülikoolid, 9 riigi rakenduskõrgkoolid ja 9 riigi teadusasutused.</w:t>
      </w:r>
    </w:p>
    <w:p w14:paraId="683127FD" w14:textId="74B39699" w:rsidR="00F93270" w:rsidRPr="00A245DA" w:rsidRDefault="00F93270" w:rsidP="003142A2">
      <w:pPr>
        <w:pStyle w:val="PlainText"/>
        <w:ind w:firstLine="708"/>
        <w:jc w:val="both"/>
        <w:rPr>
          <w:rFonts w:ascii="Times New Roman" w:hAnsi="Times New Roman" w:cs="Times New Roman"/>
          <w:szCs w:val="22"/>
        </w:rPr>
      </w:pPr>
      <w:r w:rsidRPr="00A245DA">
        <w:rPr>
          <w:rFonts w:ascii="Times New Roman" w:hAnsi="Times New Roman" w:cs="Times New Roman"/>
          <w:szCs w:val="22"/>
        </w:rPr>
        <w:t>Kuna ettepanekute esitajate ring on määratletud, siis on võimalik potentsiaalseid taotlejaid teavitada ettepanekute esitamise võimalusest sihtteavitusena</w:t>
      </w:r>
      <w:r w:rsidR="00DE3DF3" w:rsidRPr="00A245DA">
        <w:rPr>
          <w:rFonts w:ascii="Times New Roman" w:hAnsi="Times New Roman" w:cs="Times New Roman"/>
          <w:szCs w:val="22"/>
        </w:rPr>
        <w:t xml:space="preserve"> (seda on ka senistel infopäevadel tehtud)</w:t>
      </w:r>
      <w:r w:rsidRPr="00A245DA">
        <w:rPr>
          <w:rFonts w:ascii="Times New Roman" w:hAnsi="Times New Roman" w:cs="Times New Roman"/>
          <w:szCs w:val="22"/>
        </w:rPr>
        <w:t>. Lisaks avaldatakse vastav teade ka rakendusüksuse kodulehel. Teates avaldatakse koos ettepaneku vormiga ka ASTRA</w:t>
      </w:r>
      <w:r w:rsidR="00A647A3" w:rsidRPr="00A245DA">
        <w:rPr>
          <w:rFonts w:ascii="Times New Roman" w:hAnsi="Times New Roman" w:cs="Times New Roman"/>
          <w:szCs w:val="22"/>
        </w:rPr>
        <w:t>-st eraldatava maksimaalse</w:t>
      </w:r>
      <w:r w:rsidRPr="00A245DA">
        <w:rPr>
          <w:rFonts w:ascii="Times New Roman" w:hAnsi="Times New Roman" w:cs="Times New Roman"/>
          <w:szCs w:val="22"/>
        </w:rPr>
        <w:t xml:space="preserve"> toetuse maht, ettepanekute esitamise tähtaeg ja iga potentsiaalse taotleja kohta § 9 lõike 3 alusel määratud taotl</w:t>
      </w:r>
      <w:r w:rsidR="00A647A3" w:rsidRPr="00A245DA">
        <w:rPr>
          <w:rFonts w:ascii="Times New Roman" w:hAnsi="Times New Roman" w:cs="Times New Roman"/>
          <w:szCs w:val="22"/>
        </w:rPr>
        <w:t>etava toetuse</w:t>
      </w:r>
      <w:r w:rsidRPr="00A245DA">
        <w:rPr>
          <w:rFonts w:ascii="Times New Roman" w:hAnsi="Times New Roman" w:cs="Times New Roman"/>
          <w:szCs w:val="22"/>
        </w:rPr>
        <w:t xml:space="preserve"> ülempiir.</w:t>
      </w:r>
      <w:r w:rsidR="00E36020" w:rsidRPr="00A245DA">
        <w:rPr>
          <w:rFonts w:ascii="Times New Roman" w:hAnsi="Times New Roman" w:cs="Times New Roman"/>
          <w:szCs w:val="22"/>
        </w:rPr>
        <w:t xml:space="preserve"> </w:t>
      </w:r>
      <w:r w:rsidR="00963B53" w:rsidRPr="00A245DA">
        <w:rPr>
          <w:rFonts w:ascii="Times New Roman" w:hAnsi="Times New Roman" w:cs="Times New Roman"/>
          <w:szCs w:val="22"/>
        </w:rPr>
        <w:t>E</w:t>
      </w:r>
      <w:r w:rsidR="00E36020" w:rsidRPr="00A245DA">
        <w:rPr>
          <w:rFonts w:ascii="Times New Roman" w:hAnsi="Times New Roman" w:cs="Times New Roman"/>
          <w:szCs w:val="22"/>
        </w:rPr>
        <w:t>ttepaneku esitamiseks antakse aega vähemalt kaks kuud.</w:t>
      </w:r>
    </w:p>
    <w:p w14:paraId="40D81556" w14:textId="43620205" w:rsidR="00F93270" w:rsidRPr="00A245DA" w:rsidRDefault="00615C7D" w:rsidP="00F93270">
      <w:pPr>
        <w:pStyle w:val="NoSpacing"/>
        <w:tabs>
          <w:tab w:val="left" w:pos="2891"/>
        </w:tabs>
        <w:jc w:val="both"/>
        <w:rPr>
          <w:rFonts w:ascii="Times New Roman" w:hAnsi="Times New Roman" w:cs="Times New Roman"/>
          <w:color w:val="000000"/>
        </w:rPr>
      </w:pPr>
      <w:r w:rsidRPr="00A245DA">
        <w:rPr>
          <w:rFonts w:ascii="Times New Roman" w:hAnsi="Times New Roman" w:cs="Times New Roman"/>
          <w:color w:val="000000"/>
        </w:rPr>
        <w:t xml:space="preserve">          </w:t>
      </w:r>
      <w:r w:rsidR="00963B53" w:rsidRPr="00A245DA">
        <w:rPr>
          <w:rFonts w:ascii="Times New Roman" w:hAnsi="Times New Roman" w:cs="Times New Roman"/>
          <w:color w:val="000000"/>
        </w:rPr>
        <w:t>E</w:t>
      </w:r>
      <w:r w:rsidR="00F93270" w:rsidRPr="00A245DA">
        <w:rPr>
          <w:rFonts w:ascii="Times New Roman" w:hAnsi="Times New Roman" w:cs="Times New Roman"/>
          <w:color w:val="000000"/>
        </w:rPr>
        <w:t xml:space="preserve">ttepanekud tuleb esitada rakendusüksusele digitaalselt allkirjastatuna elektronposti teel. </w:t>
      </w:r>
      <w:r w:rsidR="00F93270" w:rsidRPr="00A245DA">
        <w:rPr>
          <w:rFonts w:ascii="Times New Roman" w:hAnsi="Times New Roman" w:cs="Times New Roman"/>
        </w:rPr>
        <w:t xml:space="preserve">Rakendusüksusele antakse rakendusasutuse poolt halduslepinguga kohustus </w:t>
      </w:r>
      <w:r w:rsidR="000D4B66" w:rsidRPr="00A245DA">
        <w:rPr>
          <w:rFonts w:ascii="Times New Roman" w:hAnsi="Times New Roman" w:cs="Times New Roman"/>
        </w:rPr>
        <w:t xml:space="preserve">tagada </w:t>
      </w:r>
      <w:r w:rsidR="00F93270" w:rsidRPr="00A245DA">
        <w:rPr>
          <w:rFonts w:ascii="Times New Roman" w:hAnsi="Times New Roman" w:cs="Times New Roman"/>
        </w:rPr>
        <w:t xml:space="preserve">ASTRA </w:t>
      </w:r>
      <w:r w:rsidR="000D4B66" w:rsidRPr="00A245DA">
        <w:rPr>
          <w:rFonts w:ascii="Times New Roman" w:hAnsi="Times New Roman" w:cs="Times New Roman"/>
        </w:rPr>
        <w:t>tehniline teeni</w:t>
      </w:r>
      <w:r w:rsidR="0086425B" w:rsidRPr="00A245DA">
        <w:rPr>
          <w:rFonts w:ascii="Times New Roman" w:hAnsi="Times New Roman" w:cs="Times New Roman"/>
        </w:rPr>
        <w:t>n</w:t>
      </w:r>
      <w:r w:rsidR="000D4B66" w:rsidRPr="00A245DA">
        <w:rPr>
          <w:rFonts w:ascii="Times New Roman" w:hAnsi="Times New Roman" w:cs="Times New Roman"/>
        </w:rPr>
        <w:t>damine</w:t>
      </w:r>
      <w:r w:rsidR="0086425B" w:rsidRPr="00A245DA">
        <w:rPr>
          <w:rFonts w:ascii="Times New Roman" w:hAnsi="Times New Roman" w:cs="Times New Roman"/>
        </w:rPr>
        <w:t>, sh</w:t>
      </w:r>
      <w:r w:rsidR="000D4B66" w:rsidRPr="00A245DA">
        <w:rPr>
          <w:rFonts w:ascii="Times New Roman" w:hAnsi="Times New Roman" w:cs="Times New Roman"/>
        </w:rPr>
        <w:t xml:space="preserve"> ettepanekute </w:t>
      </w:r>
      <w:r w:rsidR="0086425B" w:rsidRPr="00A245DA">
        <w:rPr>
          <w:rFonts w:ascii="Times New Roman" w:hAnsi="Times New Roman" w:cs="Times New Roman"/>
        </w:rPr>
        <w:t xml:space="preserve">ja taotluste </w:t>
      </w:r>
      <w:r w:rsidR="000D4B66" w:rsidRPr="00A245DA">
        <w:rPr>
          <w:rFonts w:ascii="Times New Roman" w:hAnsi="Times New Roman" w:cs="Times New Roman"/>
        </w:rPr>
        <w:t>menetlemi</w:t>
      </w:r>
      <w:r w:rsidR="0086425B" w:rsidRPr="00A245DA">
        <w:rPr>
          <w:rFonts w:ascii="Times New Roman" w:hAnsi="Times New Roman" w:cs="Times New Roman"/>
        </w:rPr>
        <w:t>ne ning</w:t>
      </w:r>
      <w:r w:rsidR="000D4B66" w:rsidRPr="00A245DA">
        <w:rPr>
          <w:rFonts w:ascii="Times New Roman" w:hAnsi="Times New Roman" w:cs="Times New Roman"/>
        </w:rPr>
        <w:t xml:space="preserve"> hindamis</w:t>
      </w:r>
      <w:r w:rsidR="0086425B" w:rsidRPr="00A245DA">
        <w:rPr>
          <w:rFonts w:ascii="Times New Roman" w:hAnsi="Times New Roman" w:cs="Times New Roman"/>
        </w:rPr>
        <w:t>- ja juht</w:t>
      </w:r>
      <w:r w:rsidR="000D4B66" w:rsidRPr="00A245DA">
        <w:rPr>
          <w:rFonts w:ascii="Times New Roman" w:hAnsi="Times New Roman" w:cs="Times New Roman"/>
        </w:rPr>
        <w:t>komisjoni töö korraldami</w:t>
      </w:r>
      <w:r w:rsidR="0086425B" w:rsidRPr="00A245DA">
        <w:rPr>
          <w:rFonts w:ascii="Times New Roman" w:hAnsi="Times New Roman" w:cs="Times New Roman"/>
        </w:rPr>
        <w:t>ne</w:t>
      </w:r>
      <w:r w:rsidR="000D4B66" w:rsidRPr="00A245DA">
        <w:rPr>
          <w:rFonts w:ascii="Times New Roman" w:hAnsi="Times New Roman" w:cs="Times New Roman"/>
        </w:rPr>
        <w:t>.</w:t>
      </w:r>
      <w:r w:rsidR="00F93270" w:rsidRPr="00A245DA">
        <w:rPr>
          <w:rFonts w:ascii="Times New Roman" w:hAnsi="Times New Roman" w:cs="Times New Roman"/>
          <w:color w:val="000000"/>
        </w:rPr>
        <w:tab/>
      </w:r>
    </w:p>
    <w:p w14:paraId="19D713E4" w14:textId="77777777" w:rsidR="00C936C2" w:rsidRPr="00A245DA" w:rsidRDefault="00C936C2" w:rsidP="00F93270">
      <w:pPr>
        <w:pStyle w:val="NoSpacing"/>
        <w:tabs>
          <w:tab w:val="left" w:pos="2891"/>
        </w:tabs>
        <w:jc w:val="both"/>
        <w:rPr>
          <w:rFonts w:ascii="Times New Roman" w:hAnsi="Times New Roman" w:cs="Times New Roman"/>
          <w:color w:val="000000"/>
        </w:rPr>
      </w:pPr>
    </w:p>
    <w:p w14:paraId="5381B35F" w14:textId="352BC65A" w:rsidR="00C936C2" w:rsidRPr="00A245DA" w:rsidRDefault="00C936C2" w:rsidP="00C936C2">
      <w:pPr>
        <w:pStyle w:val="NoSpacing"/>
        <w:tabs>
          <w:tab w:val="left" w:pos="2891"/>
        </w:tabs>
        <w:jc w:val="both"/>
        <w:rPr>
          <w:rFonts w:ascii="Times New Roman" w:hAnsi="Times New Roman" w:cs="Times New Roman"/>
          <w:color w:val="000000"/>
        </w:rPr>
      </w:pPr>
      <w:r w:rsidRPr="00A245DA">
        <w:rPr>
          <w:rFonts w:ascii="Times New Roman" w:hAnsi="Times New Roman" w:cs="Times New Roman"/>
          <w:color w:val="000000"/>
          <w:u w:val="single"/>
        </w:rPr>
        <w:t>§-s 11</w:t>
      </w:r>
      <w:r w:rsidRPr="00A245DA">
        <w:rPr>
          <w:rFonts w:ascii="Times New Roman" w:hAnsi="Times New Roman" w:cs="Times New Roman"/>
          <w:color w:val="000000"/>
        </w:rPr>
        <w:t xml:space="preserve"> esitatakse nõuded esitatavale ettepanekule.</w:t>
      </w:r>
      <w:r w:rsidR="005E666C" w:rsidRPr="00A245DA">
        <w:rPr>
          <w:rFonts w:ascii="Times New Roman" w:hAnsi="Times New Roman" w:cs="Times New Roman"/>
          <w:color w:val="000000"/>
        </w:rPr>
        <w:t xml:space="preserve"> Nõuded kehtivad sarnaselt nii nende ettepanekute osas, mis sisaldavad investeeringuid teadus- ja õppehoonetesse (§ 6 lg 1 p 1), kui ettepanekute osas, mis selliseid investeeringuid ei hõlma.</w:t>
      </w:r>
      <w:r w:rsidRPr="00A245DA">
        <w:rPr>
          <w:rFonts w:ascii="Times New Roman" w:hAnsi="Times New Roman" w:cs="Times New Roman"/>
          <w:color w:val="000000"/>
        </w:rPr>
        <w:t xml:space="preserve"> </w:t>
      </w:r>
    </w:p>
    <w:p w14:paraId="31CB27D8" w14:textId="24488CDF" w:rsidR="00C936C2" w:rsidRPr="00A245DA" w:rsidRDefault="00C936C2" w:rsidP="00C936C2">
      <w:pPr>
        <w:pStyle w:val="NoSpacing"/>
        <w:tabs>
          <w:tab w:val="left" w:pos="2891"/>
        </w:tabs>
        <w:jc w:val="both"/>
        <w:rPr>
          <w:rFonts w:ascii="Times New Roman" w:hAnsi="Times New Roman" w:cs="Times New Roman"/>
          <w:color w:val="000000"/>
        </w:rPr>
      </w:pPr>
      <w:r w:rsidRPr="00A245DA">
        <w:rPr>
          <w:rFonts w:ascii="Times New Roman" w:hAnsi="Times New Roman" w:cs="Times New Roman"/>
          <w:color w:val="000000"/>
          <w:u w:val="single"/>
        </w:rPr>
        <w:t>Lõike 1 punktides 1-4</w:t>
      </w:r>
      <w:r w:rsidRPr="00A245DA">
        <w:rPr>
          <w:rFonts w:ascii="Times New Roman" w:hAnsi="Times New Roman" w:cs="Times New Roman"/>
          <w:color w:val="000000"/>
        </w:rPr>
        <w:t xml:space="preserve"> esitatud nõuded tulenevad TMM § 4 lõike 1 punktidest 1-4. </w:t>
      </w:r>
    </w:p>
    <w:p w14:paraId="59C44543" w14:textId="35B1857A" w:rsidR="00C936C2" w:rsidRPr="00A245DA" w:rsidRDefault="00615C7D" w:rsidP="00C936C2">
      <w:pPr>
        <w:pStyle w:val="NoSpacing"/>
        <w:tabs>
          <w:tab w:val="left" w:pos="2891"/>
        </w:tabs>
        <w:jc w:val="both"/>
        <w:rPr>
          <w:rFonts w:ascii="Times New Roman" w:hAnsi="Times New Roman" w:cs="Times New Roman"/>
          <w:color w:val="000000"/>
        </w:rPr>
      </w:pPr>
      <w:r w:rsidRPr="00A245DA">
        <w:rPr>
          <w:rFonts w:ascii="Times New Roman" w:hAnsi="Times New Roman" w:cs="Times New Roman"/>
          <w:color w:val="000000"/>
        </w:rPr>
        <w:t xml:space="preserve">          </w:t>
      </w:r>
      <w:r w:rsidR="00C936C2" w:rsidRPr="00A245DA">
        <w:rPr>
          <w:rFonts w:ascii="Times New Roman" w:hAnsi="Times New Roman" w:cs="Times New Roman"/>
          <w:color w:val="000000"/>
        </w:rPr>
        <w:t xml:space="preserve">Kuna asutus oma ettepanekut esitades võib teha valiku § 6 lg 1 punktides 1-7 nimetatud tegevuste vahel, siis käesoleva lõike </w:t>
      </w:r>
      <w:r w:rsidR="00C936C2" w:rsidRPr="00A245DA">
        <w:rPr>
          <w:rFonts w:ascii="Times New Roman" w:hAnsi="Times New Roman" w:cs="Times New Roman"/>
          <w:color w:val="000000"/>
          <w:u w:val="single"/>
        </w:rPr>
        <w:t>punktide 5 ja 6</w:t>
      </w:r>
      <w:r w:rsidR="00C936C2" w:rsidRPr="00A245DA">
        <w:rPr>
          <w:rFonts w:ascii="Times New Roman" w:hAnsi="Times New Roman" w:cs="Times New Roman"/>
          <w:color w:val="000000"/>
        </w:rPr>
        <w:t xml:space="preserve"> alusel tuleb iga tegevuspaketi kohta eraldi esitada ka eelarve ja tegevuste väljundnäitajad. </w:t>
      </w:r>
      <w:r w:rsidR="00C30205" w:rsidRPr="00A245DA">
        <w:rPr>
          <w:rFonts w:ascii="Times New Roman" w:hAnsi="Times New Roman" w:cs="Times New Roman"/>
          <w:color w:val="000000"/>
        </w:rPr>
        <w:t xml:space="preserve">Vajadusel tuleb tegevuspakettide eelarve esitada ka jaotatuna alategevuste vahel. Nt doktorikoolide planeerimisel tuleb esitada eelarve valdkondlike doktorikoolide lõikes. </w:t>
      </w:r>
      <w:r w:rsidR="005A4BB1" w:rsidRPr="00A245DA">
        <w:rPr>
          <w:rFonts w:ascii="Times New Roman" w:hAnsi="Times New Roman" w:cs="Times New Roman"/>
          <w:color w:val="000000"/>
        </w:rPr>
        <w:t>E</w:t>
      </w:r>
      <w:r w:rsidR="00C936C2" w:rsidRPr="00A245DA">
        <w:rPr>
          <w:rFonts w:ascii="Times New Roman" w:hAnsi="Times New Roman" w:cs="Times New Roman"/>
          <w:color w:val="000000"/>
        </w:rPr>
        <w:t xml:space="preserve">ttepanekus tuleb tegevuste väljundnäitajatele seada nii projekti lõpuks saavutatavad sihttasemed kui ka vahetasemed, mida </w:t>
      </w:r>
      <w:r w:rsidR="001B1D43" w:rsidRPr="00A245DA">
        <w:rPr>
          <w:rFonts w:ascii="Times New Roman" w:hAnsi="Times New Roman" w:cs="Times New Roman"/>
          <w:color w:val="000000"/>
        </w:rPr>
        <w:t>soovitakse</w:t>
      </w:r>
      <w:r w:rsidR="00C936C2" w:rsidRPr="00A245DA">
        <w:rPr>
          <w:rFonts w:ascii="Times New Roman" w:hAnsi="Times New Roman" w:cs="Times New Roman"/>
          <w:color w:val="000000"/>
        </w:rPr>
        <w:t xml:space="preserve"> projektiga saavutada 2018. a lõpuks. 2019. aastal toimub ASTRA vahehindamine, kus hinnatakse projektide tegelikku edenemist võrreldes väljundnäitajatele seatud vahetasemetega. § 6 lg 1 punktides 1-6 nimetatud tegevustele </w:t>
      </w:r>
      <w:r w:rsidR="005A4BB1" w:rsidRPr="00A245DA">
        <w:rPr>
          <w:rFonts w:ascii="Times New Roman" w:hAnsi="Times New Roman" w:cs="Times New Roman"/>
          <w:color w:val="000000"/>
        </w:rPr>
        <w:t>määravad</w:t>
      </w:r>
      <w:r w:rsidR="00C936C2" w:rsidRPr="00A245DA">
        <w:rPr>
          <w:rFonts w:ascii="Times New Roman" w:hAnsi="Times New Roman" w:cs="Times New Roman"/>
          <w:color w:val="000000"/>
        </w:rPr>
        <w:t xml:space="preserve"> ettepaneku esitajad ise sobilikud, tegevuste väljundeid kõige paremini mõõt</w:t>
      </w:r>
      <w:r w:rsidR="00C07B0B" w:rsidRPr="00A245DA">
        <w:rPr>
          <w:rFonts w:ascii="Times New Roman" w:hAnsi="Times New Roman" w:cs="Times New Roman"/>
          <w:color w:val="000000"/>
        </w:rPr>
        <w:t xml:space="preserve">vad </w:t>
      </w:r>
      <w:r w:rsidR="00C07B0B" w:rsidRPr="00A245DA">
        <w:rPr>
          <w:rFonts w:ascii="Times New Roman" w:hAnsi="Times New Roman" w:cs="Times New Roman"/>
          <w:color w:val="000000"/>
          <w:u w:val="single"/>
        </w:rPr>
        <w:t>indikaatorid</w:t>
      </w:r>
      <w:r w:rsidR="00C07B0B" w:rsidRPr="00A245DA">
        <w:rPr>
          <w:rFonts w:ascii="Times New Roman" w:hAnsi="Times New Roman" w:cs="Times New Roman"/>
          <w:color w:val="000000"/>
        </w:rPr>
        <w:t>. HTM</w:t>
      </w:r>
      <w:r w:rsidR="00C936C2" w:rsidRPr="00A245DA">
        <w:rPr>
          <w:rFonts w:ascii="Times New Roman" w:hAnsi="Times New Roman" w:cs="Times New Roman"/>
          <w:color w:val="000000"/>
        </w:rPr>
        <w:t xml:space="preserve"> on koostöös partneritega toetatavate tegevuste jaoks välja töötanud loetelu </w:t>
      </w:r>
      <w:r w:rsidR="00E029EE" w:rsidRPr="00A245DA">
        <w:rPr>
          <w:rFonts w:ascii="Times New Roman" w:hAnsi="Times New Roman" w:cs="Times New Roman"/>
          <w:color w:val="000000"/>
        </w:rPr>
        <w:t xml:space="preserve">soovituslikest </w:t>
      </w:r>
      <w:r w:rsidR="00C936C2" w:rsidRPr="00A245DA">
        <w:rPr>
          <w:rFonts w:ascii="Times New Roman" w:hAnsi="Times New Roman" w:cs="Times New Roman"/>
          <w:color w:val="000000"/>
        </w:rPr>
        <w:t xml:space="preserve">indikaatoritest, mida toetuse saajad saavad kasutada. Näiteks teadus- ja õppehoonete </w:t>
      </w:r>
      <w:r w:rsidR="00FE0946" w:rsidRPr="00A245DA">
        <w:rPr>
          <w:rFonts w:ascii="Times New Roman" w:hAnsi="Times New Roman" w:cs="Times New Roman"/>
          <w:color w:val="000000"/>
        </w:rPr>
        <w:t>rajamisel</w:t>
      </w:r>
      <w:r w:rsidR="00C936C2" w:rsidRPr="00A245DA">
        <w:rPr>
          <w:rFonts w:ascii="Times New Roman" w:hAnsi="Times New Roman" w:cs="Times New Roman"/>
          <w:color w:val="000000"/>
        </w:rPr>
        <w:t xml:space="preserve"> ning õppe- ja teadustöö infrastruktuuri soetamisel on väljundnäitajaks üliõpilaste või teadlaste arv, kes kasutavad uut või kaasajastatud infrastruktuuri, rahvusvahelistumise tegevuspaketis ingliskeelsetel õppekavadel õppivate üliõpilaste arv õppekava kohta või korraliste välisõppejõudude või –teadlaste arv või osakaal, struktuursete ümberkorralduste läbiviimisel üliõpilaste arv õppekava kohta või haldus- ja tugitöötajate </w:t>
      </w:r>
      <w:r w:rsidR="00C936C2" w:rsidRPr="00A245DA">
        <w:rPr>
          <w:rFonts w:ascii="Times New Roman" w:hAnsi="Times New Roman" w:cs="Times New Roman"/>
          <w:color w:val="000000"/>
        </w:rPr>
        <w:lastRenderedPageBreak/>
        <w:t>suhe akadeemilise töötaja kohta</w:t>
      </w:r>
      <w:r w:rsidR="009F6D5E" w:rsidRPr="00A245DA">
        <w:rPr>
          <w:rFonts w:ascii="Times New Roman" w:hAnsi="Times New Roman" w:cs="Times New Roman"/>
          <w:color w:val="000000"/>
        </w:rPr>
        <w:t>, doktoriõppe efektiivsuse ja kvaliteedi suurendamise tegevuspaketis kaitstud doktoritööde asutuseväliste (kaas)juhendajate arv, sh eristades</w:t>
      </w:r>
      <w:r w:rsidR="00010545" w:rsidRPr="00A245DA">
        <w:rPr>
          <w:rFonts w:ascii="Times New Roman" w:hAnsi="Times New Roman" w:cs="Times New Roman"/>
          <w:color w:val="000000"/>
        </w:rPr>
        <w:t xml:space="preserve"> välis(kaas)juhendajaid ja (kaas)juhendajaid ettevõtlussektorist.</w:t>
      </w:r>
      <w:r w:rsidR="009F6D5E" w:rsidRPr="00A245DA">
        <w:rPr>
          <w:rFonts w:ascii="Times New Roman" w:hAnsi="Times New Roman" w:cs="Times New Roman"/>
          <w:color w:val="000000"/>
        </w:rPr>
        <w:t xml:space="preserve"> </w:t>
      </w:r>
      <w:r w:rsidR="00C936C2" w:rsidRPr="00A245DA">
        <w:rPr>
          <w:rFonts w:ascii="Times New Roman" w:hAnsi="Times New Roman" w:cs="Times New Roman"/>
          <w:color w:val="000000"/>
        </w:rPr>
        <w:t xml:space="preserve"> </w:t>
      </w:r>
    </w:p>
    <w:p w14:paraId="59A1F33B" w14:textId="606914E6" w:rsidR="00C936C2" w:rsidRPr="00A245DA" w:rsidRDefault="00615C7D" w:rsidP="00C936C2">
      <w:pPr>
        <w:pStyle w:val="NoSpacing"/>
        <w:tabs>
          <w:tab w:val="left" w:pos="2891"/>
        </w:tabs>
        <w:jc w:val="both"/>
        <w:rPr>
          <w:rFonts w:ascii="Times New Roman" w:hAnsi="Times New Roman" w:cs="Times New Roman"/>
          <w:color w:val="000000"/>
        </w:rPr>
      </w:pPr>
      <w:r w:rsidRPr="00A245DA">
        <w:rPr>
          <w:rFonts w:ascii="Times New Roman" w:hAnsi="Times New Roman" w:cs="Times New Roman"/>
          <w:color w:val="000000"/>
        </w:rPr>
        <w:t xml:space="preserve">         </w:t>
      </w:r>
      <w:r w:rsidR="00C936C2" w:rsidRPr="00A245DA">
        <w:rPr>
          <w:rFonts w:ascii="Times New Roman" w:hAnsi="Times New Roman" w:cs="Times New Roman"/>
          <w:color w:val="000000"/>
        </w:rPr>
        <w:t>§ 6 lg 1 punktis 7 nimetatud tegevuse väljundi mõõtmiseks tuleb aga</w:t>
      </w:r>
      <w:r w:rsidR="00044ADA" w:rsidRPr="00A245DA">
        <w:rPr>
          <w:rFonts w:ascii="Times New Roman" w:hAnsi="Times New Roman" w:cs="Times New Roman"/>
          <w:color w:val="000000"/>
        </w:rPr>
        <w:t xml:space="preserve"> ühe väljundnäitajana  kohustuslikult</w:t>
      </w:r>
      <w:r w:rsidR="00C936C2" w:rsidRPr="00A245DA">
        <w:rPr>
          <w:rFonts w:ascii="Times New Roman" w:hAnsi="Times New Roman" w:cs="Times New Roman"/>
          <w:color w:val="000000"/>
        </w:rPr>
        <w:t xml:space="preserve"> kasutada ASTRA väljundnäitajat, milleks on toetust saavate asutustega koostööd tegevate ettevõtete arv. </w:t>
      </w:r>
      <w:r w:rsidR="00044ADA" w:rsidRPr="00A245DA">
        <w:rPr>
          <w:rFonts w:ascii="Times New Roman" w:hAnsi="Times New Roman" w:cs="Times New Roman"/>
          <w:color w:val="000000"/>
        </w:rPr>
        <w:t>Soovi korral võivad asutused ka sellele tegevusele lisada täiendavaid indikaatoreid.</w:t>
      </w:r>
    </w:p>
    <w:p w14:paraId="34FCFABF" w14:textId="3A53AB33" w:rsidR="00C936C2" w:rsidRPr="00A245DA" w:rsidRDefault="00615C7D" w:rsidP="00C936C2">
      <w:pPr>
        <w:pStyle w:val="NoSpacing"/>
        <w:tabs>
          <w:tab w:val="left" w:pos="2891"/>
        </w:tabs>
        <w:jc w:val="both"/>
        <w:rPr>
          <w:rFonts w:ascii="Times New Roman" w:hAnsi="Times New Roman" w:cs="Times New Roman"/>
          <w:color w:val="000000"/>
        </w:rPr>
      </w:pPr>
      <w:r w:rsidRPr="00A245DA">
        <w:rPr>
          <w:rFonts w:ascii="Times New Roman" w:hAnsi="Times New Roman" w:cs="Times New Roman"/>
          <w:color w:val="000000"/>
        </w:rPr>
        <w:t xml:space="preserve">        </w:t>
      </w:r>
      <w:r w:rsidR="00C936C2" w:rsidRPr="00A245DA">
        <w:rPr>
          <w:rFonts w:ascii="Times New Roman" w:hAnsi="Times New Roman" w:cs="Times New Roman"/>
          <w:color w:val="000000"/>
          <w:u w:val="single"/>
        </w:rPr>
        <w:t>Punktis 7</w:t>
      </w:r>
      <w:r w:rsidR="00C936C2" w:rsidRPr="00A245DA">
        <w:rPr>
          <w:rFonts w:ascii="Times New Roman" w:hAnsi="Times New Roman" w:cs="Times New Roman"/>
          <w:color w:val="000000"/>
        </w:rPr>
        <w:t xml:space="preserve"> esitatakse nõue, et projekti tegevused peavad jääma abikõlblikkuse perioodi. Projekti abikõlblikkuse periood on sätestatud käesoleva määruse §-s 8.</w:t>
      </w:r>
      <w:r w:rsidR="00B20EB2" w:rsidRPr="00A245DA">
        <w:rPr>
          <w:rFonts w:ascii="Times New Roman" w:hAnsi="Times New Roman" w:cs="Times New Roman"/>
          <w:color w:val="000000"/>
        </w:rPr>
        <w:t xml:space="preserve"> Üldjuhul peaks</w:t>
      </w:r>
      <w:r w:rsidR="00C8465E" w:rsidRPr="00A245DA">
        <w:rPr>
          <w:rFonts w:ascii="Times New Roman" w:hAnsi="Times New Roman" w:cs="Times New Roman"/>
          <w:color w:val="000000"/>
        </w:rPr>
        <w:t>id</w:t>
      </w:r>
      <w:r w:rsidR="00B20EB2" w:rsidRPr="00A245DA">
        <w:rPr>
          <w:rFonts w:ascii="Times New Roman" w:hAnsi="Times New Roman" w:cs="Times New Roman"/>
          <w:color w:val="000000"/>
        </w:rPr>
        <w:t xml:space="preserve"> esitatava projekti tegevused olema planeeritud kuni aastani 2020, mitte kauem. Pikaajalised jätkuva iseloomuga tegevused, nt välisõppejõudude kaasamine rah</w:t>
      </w:r>
      <w:r w:rsidR="00C8465E" w:rsidRPr="00A245DA">
        <w:rPr>
          <w:rFonts w:ascii="Times New Roman" w:hAnsi="Times New Roman" w:cs="Times New Roman"/>
          <w:color w:val="000000"/>
        </w:rPr>
        <w:t>vusvahelistumise edendamiseks</w:t>
      </w:r>
      <w:r w:rsidR="00044ADA" w:rsidRPr="00A245DA">
        <w:rPr>
          <w:rFonts w:ascii="Times New Roman" w:hAnsi="Times New Roman" w:cs="Times New Roman"/>
          <w:color w:val="000000"/>
        </w:rPr>
        <w:t>, doktoriõppe efektiivsuse ja kvaliteedi tõstmiseks tehtavad tegevused</w:t>
      </w:r>
      <w:r w:rsidR="00C8465E" w:rsidRPr="00A245DA">
        <w:rPr>
          <w:rFonts w:ascii="Times New Roman" w:hAnsi="Times New Roman" w:cs="Times New Roman"/>
          <w:color w:val="000000"/>
        </w:rPr>
        <w:t xml:space="preserve">, võivad kesta kuni abikõlblikkuse perioodi lõpuni. </w:t>
      </w:r>
    </w:p>
    <w:p w14:paraId="682C42D5" w14:textId="28678DDE" w:rsidR="00C936C2" w:rsidRPr="00A245DA" w:rsidRDefault="00615C7D" w:rsidP="00C936C2">
      <w:pPr>
        <w:pStyle w:val="NoSpacing"/>
        <w:tabs>
          <w:tab w:val="left" w:pos="2891"/>
        </w:tabs>
        <w:jc w:val="both"/>
        <w:rPr>
          <w:rFonts w:ascii="Times New Roman" w:hAnsi="Times New Roman" w:cs="Times New Roman"/>
          <w:color w:val="000000"/>
        </w:rPr>
      </w:pPr>
      <w:r w:rsidRPr="00A245DA">
        <w:rPr>
          <w:rFonts w:ascii="Times New Roman" w:hAnsi="Times New Roman" w:cs="Times New Roman"/>
          <w:color w:val="000000"/>
        </w:rPr>
        <w:t xml:space="preserve">        </w:t>
      </w:r>
      <w:r w:rsidR="00C936C2" w:rsidRPr="00A245DA">
        <w:rPr>
          <w:rFonts w:ascii="Times New Roman" w:hAnsi="Times New Roman" w:cs="Times New Roman"/>
          <w:color w:val="000000"/>
          <w:u w:val="single"/>
        </w:rPr>
        <w:t>Punktides 8 ja 9</w:t>
      </w:r>
      <w:r w:rsidR="00C936C2" w:rsidRPr="00A245DA">
        <w:rPr>
          <w:rFonts w:ascii="Times New Roman" w:hAnsi="Times New Roman" w:cs="Times New Roman"/>
          <w:color w:val="000000"/>
        </w:rPr>
        <w:t xml:space="preserve"> esitatud nõuded tulenevad TMM § 4 lõike 1 punktidest 11 ja 12. Taotletava toetuse osakaal ei tohi olla suurem kui 95% vastavalt käesoleva määruse § 9 lõikele 4. Kui projektis soovitakse toetust teadus- või õppehoonete </w:t>
      </w:r>
      <w:r w:rsidR="00FE0946" w:rsidRPr="00A245DA">
        <w:rPr>
          <w:rFonts w:ascii="Times New Roman" w:hAnsi="Times New Roman" w:cs="Times New Roman"/>
          <w:color w:val="000000"/>
        </w:rPr>
        <w:t>rajamiseks</w:t>
      </w:r>
      <w:r w:rsidR="00C936C2" w:rsidRPr="00A245DA">
        <w:rPr>
          <w:rFonts w:ascii="Times New Roman" w:hAnsi="Times New Roman" w:cs="Times New Roman"/>
          <w:color w:val="000000"/>
        </w:rPr>
        <w:t xml:space="preserve"> (§ 6 lg 1 p 1) või </w:t>
      </w:r>
      <w:r w:rsidR="0053116B" w:rsidRPr="00A245DA">
        <w:rPr>
          <w:rFonts w:ascii="Times New Roman" w:hAnsi="Times New Roman" w:cs="Times New Roman"/>
          <w:color w:val="000000"/>
        </w:rPr>
        <w:t xml:space="preserve">õppe- ja teadustöö </w:t>
      </w:r>
      <w:r w:rsidR="00C936C2" w:rsidRPr="00A245DA">
        <w:rPr>
          <w:rFonts w:ascii="Times New Roman" w:hAnsi="Times New Roman" w:cs="Times New Roman"/>
          <w:color w:val="000000"/>
        </w:rPr>
        <w:t>infrastruktuuri soetamiseks (§ 6 lg 1 p 5)</w:t>
      </w:r>
      <w:r w:rsidR="006E2AC1" w:rsidRPr="00A245DA">
        <w:rPr>
          <w:rFonts w:ascii="Times New Roman" w:hAnsi="Times New Roman" w:cs="Times New Roman"/>
          <w:color w:val="000000"/>
        </w:rPr>
        <w:t>,</w:t>
      </w:r>
      <w:r w:rsidR="00C936C2" w:rsidRPr="00A245DA">
        <w:rPr>
          <w:rFonts w:ascii="Times New Roman" w:hAnsi="Times New Roman" w:cs="Times New Roman"/>
          <w:color w:val="000000"/>
        </w:rPr>
        <w:t xml:space="preserve"> tuleb ettepanekus esitada ka vastava investeeringuobjekti </w:t>
      </w:r>
      <w:r w:rsidR="0086425B" w:rsidRPr="00A245DA">
        <w:rPr>
          <w:rFonts w:ascii="Times New Roman" w:hAnsi="Times New Roman" w:cs="Times New Roman"/>
          <w:color w:val="000000"/>
        </w:rPr>
        <w:t xml:space="preserve">(teadus- ja õppehooned, õppe- ja teadustöö infrastruktuur) </w:t>
      </w:r>
      <w:r w:rsidR="00C936C2" w:rsidRPr="00A245DA">
        <w:rPr>
          <w:rFonts w:ascii="Times New Roman" w:hAnsi="Times New Roman" w:cs="Times New Roman"/>
          <w:color w:val="000000"/>
        </w:rPr>
        <w:t xml:space="preserve">edasise kasutuse plaan, mis sisaldab vastava objektiga seonduvaid täiendavaid püsikulusid ja </w:t>
      </w:r>
      <w:r w:rsidR="00C936C2" w:rsidRPr="00A245DA">
        <w:rPr>
          <w:rFonts w:ascii="Times New Roman" w:hAnsi="Times New Roman" w:cs="Times New Roman"/>
        </w:rPr>
        <w:t>nende katmise allikaid alates projekti algusest kuni 5 aasta jooksul objekti valmimisest või soetamisest</w:t>
      </w:r>
      <w:r w:rsidR="00D05908" w:rsidRPr="00A245DA">
        <w:rPr>
          <w:rFonts w:ascii="Times New Roman" w:hAnsi="Times New Roman" w:cs="Times New Roman"/>
        </w:rPr>
        <w:t xml:space="preserve"> (arvestatakse 5 aastat alates toetuse saajale lõppmakse tegemisest)</w:t>
      </w:r>
      <w:r w:rsidR="00C936C2" w:rsidRPr="00A245DA">
        <w:rPr>
          <w:rFonts w:ascii="Times New Roman" w:hAnsi="Times New Roman" w:cs="Times New Roman"/>
        </w:rPr>
        <w:t xml:space="preserve">. Andmed </w:t>
      </w:r>
      <w:r w:rsidR="00C936C2" w:rsidRPr="00A245DA">
        <w:rPr>
          <w:rFonts w:ascii="Times New Roman" w:hAnsi="Times New Roman" w:cs="Times New Roman"/>
          <w:color w:val="000000"/>
        </w:rPr>
        <w:t xml:space="preserve">täiendavate püsikulude kohta peavad sisalduma </w:t>
      </w:r>
      <w:r w:rsidR="005A4BB1" w:rsidRPr="00A245DA">
        <w:rPr>
          <w:rFonts w:ascii="Times New Roman" w:hAnsi="Times New Roman" w:cs="Times New Roman"/>
          <w:color w:val="000000"/>
        </w:rPr>
        <w:t xml:space="preserve">ka </w:t>
      </w:r>
      <w:r w:rsidR="00C936C2" w:rsidRPr="00A245DA">
        <w:rPr>
          <w:rFonts w:ascii="Times New Roman" w:hAnsi="Times New Roman" w:cs="Times New Roman"/>
          <w:color w:val="000000"/>
        </w:rPr>
        <w:t>VV poolt kinnitatavas investeeringute kavas. Täiendavate püsikulude selgitusena on STS seletuskirjas § 15 lõike 5 puhul öeldud, et tuleb juhinduda täiendavate kohustuste võtmise lagedest. Üldjuhul tähendab see, et asutus tohib võtta eelseisvateks eelarveaastateks rahalisi kohustusi mitte rohkem kui 50% vastava aasta kululae piirmäärast.</w:t>
      </w:r>
    </w:p>
    <w:p w14:paraId="050CD03B" w14:textId="27BA3B17" w:rsidR="00C936C2" w:rsidRPr="00A245DA" w:rsidRDefault="00C936C2" w:rsidP="00C936C2">
      <w:pPr>
        <w:pStyle w:val="NoSpacing"/>
        <w:tabs>
          <w:tab w:val="left" w:pos="2891"/>
        </w:tabs>
        <w:jc w:val="both"/>
        <w:rPr>
          <w:rFonts w:ascii="Times New Roman" w:hAnsi="Times New Roman" w:cs="Times New Roman"/>
          <w:color w:val="000000"/>
        </w:rPr>
      </w:pPr>
      <w:r w:rsidRPr="00A245DA">
        <w:rPr>
          <w:rFonts w:ascii="Times New Roman" w:hAnsi="Times New Roman" w:cs="Times New Roman"/>
          <w:color w:val="000000"/>
          <w:u w:val="single"/>
        </w:rPr>
        <w:t>Lõikes 2</w:t>
      </w:r>
      <w:r w:rsidRPr="00A245DA">
        <w:rPr>
          <w:rFonts w:ascii="Times New Roman" w:hAnsi="Times New Roman" w:cs="Times New Roman"/>
          <w:color w:val="000000"/>
        </w:rPr>
        <w:t xml:space="preserve"> on kirjeldatud ettepanekule esitatavaid nõudeid, mis valdavalt tulenevad just ASTRA eesmärkidest.</w:t>
      </w:r>
    </w:p>
    <w:p w14:paraId="413AED06" w14:textId="5A3704D3" w:rsidR="00C936C2" w:rsidRPr="00A245DA" w:rsidRDefault="00B20EB2" w:rsidP="008C381C">
      <w:pPr>
        <w:pStyle w:val="NoSpacing"/>
        <w:tabs>
          <w:tab w:val="left" w:pos="567"/>
        </w:tabs>
        <w:jc w:val="both"/>
        <w:rPr>
          <w:rFonts w:ascii="Times New Roman" w:hAnsi="Times New Roman" w:cs="Times New Roman"/>
          <w:i/>
        </w:rPr>
      </w:pPr>
      <w:r w:rsidRPr="00A245DA">
        <w:rPr>
          <w:rFonts w:ascii="Times New Roman" w:hAnsi="Times New Roman" w:cs="Times New Roman"/>
          <w:color w:val="000000"/>
        </w:rPr>
        <w:t xml:space="preserve">Kuna iga asutus saab esitada vaid ühe ettepaneku, siis esitatav ettepanek peab olema terviklik ja </w:t>
      </w:r>
      <w:r w:rsidRPr="00B61E77">
        <w:rPr>
          <w:rFonts w:ascii="Times New Roman" w:hAnsi="Times New Roman" w:cs="Times New Roman"/>
          <w:color w:val="000000"/>
          <w:u w:val="single"/>
        </w:rPr>
        <w:t>arvestama asutuse pikaajalisi arenguvajadusi</w:t>
      </w:r>
      <w:r w:rsidRPr="00A245DA">
        <w:rPr>
          <w:rFonts w:ascii="Times New Roman" w:hAnsi="Times New Roman" w:cs="Times New Roman"/>
          <w:color w:val="000000"/>
        </w:rPr>
        <w:t xml:space="preserve">. </w:t>
      </w:r>
      <w:r w:rsidR="00C936C2" w:rsidRPr="00A245DA">
        <w:rPr>
          <w:rFonts w:ascii="Times New Roman" w:hAnsi="Times New Roman" w:cs="Times New Roman"/>
          <w:color w:val="000000"/>
          <w:u w:val="single"/>
        </w:rPr>
        <w:t>Punktide 1-3</w:t>
      </w:r>
      <w:r w:rsidR="00C936C2" w:rsidRPr="00A245DA">
        <w:rPr>
          <w:rFonts w:ascii="Times New Roman" w:hAnsi="Times New Roman" w:cs="Times New Roman"/>
          <w:color w:val="000000"/>
        </w:rPr>
        <w:t xml:space="preserve"> kohaselt peab ettepanek olema kooskõlas nii riiklikes strateegiates või arengukavades ja asutuse strateegiates või arengukavades püstitatud eesmärkide või ülesannetega. Riiklike strateegiatena ei peeta silmas mitte ainult § 1 lõikes 2 nimetatud strateegiaid, vaid ka vastava asutuse vastutusvaldkonnaga seotud strateegiaid. Näiteks  </w:t>
      </w:r>
      <w:r w:rsidR="006E2AC1" w:rsidRPr="00A245DA">
        <w:rPr>
          <w:rFonts w:ascii="Times New Roman" w:hAnsi="Times New Roman" w:cs="Times New Roman"/>
          <w:color w:val="000000"/>
        </w:rPr>
        <w:t>„</w:t>
      </w:r>
      <w:r w:rsidR="00C936C2" w:rsidRPr="00A245DA">
        <w:rPr>
          <w:rFonts w:ascii="Times New Roman" w:hAnsi="Times New Roman" w:cs="Times New Roman"/>
          <w:color w:val="000000"/>
        </w:rPr>
        <w:t>Eesti taastuvenergia tegevuskavas aastani 2020</w:t>
      </w:r>
      <w:r w:rsidR="006E2AC1" w:rsidRPr="00A245DA">
        <w:rPr>
          <w:rFonts w:ascii="Times New Roman" w:hAnsi="Times New Roman" w:cs="Times New Roman"/>
          <w:color w:val="000000"/>
        </w:rPr>
        <w:t>“</w:t>
      </w:r>
      <w:r w:rsidR="00C936C2" w:rsidRPr="00A245DA">
        <w:rPr>
          <w:rFonts w:ascii="Times New Roman" w:hAnsi="Times New Roman" w:cs="Times New Roman"/>
          <w:color w:val="000000"/>
        </w:rPr>
        <w:t xml:space="preserve"> </w:t>
      </w:r>
      <w:r w:rsidR="00DA0B85" w:rsidRPr="00A245DA">
        <w:rPr>
          <w:rFonts w:ascii="Times New Roman" w:hAnsi="Times New Roman" w:cs="Times New Roman"/>
          <w:color w:val="000000"/>
        </w:rPr>
        <w:t xml:space="preserve">on </w:t>
      </w:r>
      <w:r w:rsidR="00C936C2" w:rsidRPr="00A245DA">
        <w:rPr>
          <w:rFonts w:ascii="Times New Roman" w:hAnsi="Times New Roman" w:cs="Times New Roman"/>
          <w:color w:val="000000"/>
        </w:rPr>
        <w:t xml:space="preserve">seatud tegevussuunad interdistsiplinaarseks teadus- ja arendustegevuseks biomassi ja -energia kasutamise </w:t>
      </w:r>
      <w:r w:rsidR="00C936C2" w:rsidRPr="00A245DA">
        <w:rPr>
          <w:rFonts w:ascii="Times New Roman" w:hAnsi="Times New Roman" w:cs="Times New Roman"/>
        </w:rPr>
        <w:t>edendamisel.</w:t>
      </w:r>
      <w:r w:rsidR="00CE6BD8" w:rsidRPr="00A245DA">
        <w:rPr>
          <w:rFonts w:ascii="Times New Roman" w:hAnsi="Times New Roman" w:cs="Times New Roman"/>
        </w:rPr>
        <w:t xml:space="preserve"> </w:t>
      </w:r>
      <w:r w:rsidR="005A4BB1" w:rsidRPr="00A245DA">
        <w:rPr>
          <w:rFonts w:ascii="Times New Roman" w:hAnsi="Times New Roman" w:cs="Times New Roman"/>
        </w:rPr>
        <w:t>E</w:t>
      </w:r>
      <w:r w:rsidR="00C936C2" w:rsidRPr="00A245DA">
        <w:rPr>
          <w:rFonts w:ascii="Times New Roman" w:hAnsi="Times New Roman" w:cs="Times New Roman"/>
        </w:rPr>
        <w:t>ttepanekus tuleb kirjeldada probleemipüstitust ehk asutusesises</w:t>
      </w:r>
      <w:r w:rsidR="00244FF4" w:rsidRPr="00A245DA">
        <w:rPr>
          <w:rFonts w:ascii="Times New Roman" w:hAnsi="Times New Roman" w:cs="Times New Roman"/>
        </w:rPr>
        <w:t>eid</w:t>
      </w:r>
      <w:r w:rsidR="00C936C2" w:rsidRPr="00A245DA">
        <w:rPr>
          <w:rFonts w:ascii="Times New Roman" w:hAnsi="Times New Roman" w:cs="Times New Roman"/>
        </w:rPr>
        <w:t xml:space="preserve"> probleem</w:t>
      </w:r>
      <w:r w:rsidR="00983767" w:rsidRPr="00A245DA">
        <w:rPr>
          <w:rFonts w:ascii="Times New Roman" w:hAnsi="Times New Roman" w:cs="Times New Roman"/>
        </w:rPr>
        <w:t>e</w:t>
      </w:r>
      <w:r w:rsidR="00C936C2" w:rsidRPr="00A245DA">
        <w:rPr>
          <w:rFonts w:ascii="Times New Roman" w:hAnsi="Times New Roman" w:cs="Times New Roman"/>
        </w:rPr>
        <w:t xml:space="preserve"> ja vajadus</w:t>
      </w:r>
      <w:r w:rsidR="00983767" w:rsidRPr="00A245DA">
        <w:rPr>
          <w:rFonts w:ascii="Times New Roman" w:hAnsi="Times New Roman" w:cs="Times New Roman"/>
        </w:rPr>
        <w:t>i</w:t>
      </w:r>
      <w:r w:rsidR="00C936C2" w:rsidRPr="00A245DA">
        <w:rPr>
          <w:rFonts w:ascii="Times New Roman" w:hAnsi="Times New Roman" w:cs="Times New Roman"/>
        </w:rPr>
        <w:t>, arengu kitsaskoht</w:t>
      </w:r>
      <w:r w:rsidR="00983767" w:rsidRPr="00A245DA">
        <w:rPr>
          <w:rFonts w:ascii="Times New Roman" w:hAnsi="Times New Roman" w:cs="Times New Roman"/>
        </w:rPr>
        <w:t>i, mille puhul asutus saab ise olukorda lahendada,</w:t>
      </w:r>
      <w:r w:rsidR="00C936C2" w:rsidRPr="00A245DA">
        <w:rPr>
          <w:rFonts w:ascii="Times New Roman" w:hAnsi="Times New Roman" w:cs="Times New Roman"/>
        </w:rPr>
        <w:t xml:space="preserve"> koos asutuse arenguks kavandatavate tegevuste põhjendusega</w:t>
      </w:r>
      <w:r w:rsidR="00983767" w:rsidRPr="00A245DA">
        <w:rPr>
          <w:rFonts w:ascii="Times New Roman" w:hAnsi="Times New Roman" w:cs="Times New Roman"/>
        </w:rPr>
        <w:t xml:space="preserve"> (milliseid lahendusi nähakse, mida tahetakse selleks teha)</w:t>
      </w:r>
      <w:r w:rsidR="006E2AC1" w:rsidRPr="00A245DA">
        <w:rPr>
          <w:rFonts w:ascii="Times New Roman" w:hAnsi="Times New Roman" w:cs="Times New Roman"/>
        </w:rPr>
        <w:t>,</w:t>
      </w:r>
      <w:r w:rsidR="00C936C2" w:rsidRPr="00A245DA">
        <w:rPr>
          <w:rFonts w:ascii="Times New Roman" w:hAnsi="Times New Roman" w:cs="Times New Roman"/>
        </w:rPr>
        <w:t xml:space="preserve"> analüüsides nii hetkeolukorda kui kavandatavate tegevuste mõju</w:t>
      </w:r>
      <w:r w:rsidR="00983767" w:rsidRPr="00A245DA">
        <w:rPr>
          <w:rFonts w:ascii="Times New Roman" w:hAnsi="Times New Roman" w:cs="Times New Roman"/>
        </w:rPr>
        <w:t xml:space="preserve"> ja seda, kuhu tahetakse projekti tulemusel jõuda (tulemused)</w:t>
      </w:r>
      <w:r w:rsidR="00C936C2" w:rsidRPr="00A245DA">
        <w:rPr>
          <w:rFonts w:ascii="Times New Roman" w:hAnsi="Times New Roman" w:cs="Times New Roman"/>
        </w:rPr>
        <w:t xml:space="preserve">. Analüüsides tuleb </w:t>
      </w:r>
      <w:r w:rsidR="002A21EF" w:rsidRPr="00A245DA">
        <w:rPr>
          <w:rFonts w:ascii="Times New Roman" w:hAnsi="Times New Roman" w:cs="Times New Roman"/>
        </w:rPr>
        <w:t xml:space="preserve">mh </w:t>
      </w:r>
      <w:r w:rsidR="00C936C2" w:rsidRPr="00A245DA">
        <w:rPr>
          <w:rFonts w:ascii="Times New Roman" w:hAnsi="Times New Roman" w:cs="Times New Roman"/>
        </w:rPr>
        <w:t>arvestada demograafilis</w:t>
      </w:r>
      <w:r w:rsidR="00A203F4" w:rsidRPr="00A245DA">
        <w:rPr>
          <w:rFonts w:ascii="Times New Roman" w:hAnsi="Times New Roman" w:cs="Times New Roman"/>
        </w:rPr>
        <w:t>t</w:t>
      </w:r>
      <w:r w:rsidR="00C936C2" w:rsidRPr="00A245DA">
        <w:rPr>
          <w:rFonts w:ascii="Times New Roman" w:hAnsi="Times New Roman" w:cs="Times New Roman"/>
        </w:rPr>
        <w:t xml:space="preserve">e </w:t>
      </w:r>
      <w:r w:rsidR="00A203F4" w:rsidRPr="00A245DA">
        <w:rPr>
          <w:rFonts w:ascii="Times New Roman" w:hAnsi="Times New Roman" w:cs="Times New Roman"/>
        </w:rPr>
        <w:t>trendide</w:t>
      </w:r>
      <w:r w:rsidR="00C936C2" w:rsidRPr="00A245DA">
        <w:rPr>
          <w:rFonts w:ascii="Times New Roman" w:hAnsi="Times New Roman" w:cs="Times New Roman"/>
        </w:rPr>
        <w:t xml:space="preserve">ga (üliõpilaste arvu vähenemine, teadlaskonna </w:t>
      </w:r>
      <w:r w:rsidR="00DE3DF3" w:rsidRPr="00A245DA">
        <w:rPr>
          <w:rFonts w:ascii="Times New Roman" w:hAnsi="Times New Roman" w:cs="Times New Roman"/>
        </w:rPr>
        <w:t>vanuseline struktuur</w:t>
      </w:r>
      <w:r w:rsidR="00C936C2" w:rsidRPr="00A245DA">
        <w:rPr>
          <w:rFonts w:ascii="Times New Roman" w:hAnsi="Times New Roman" w:cs="Times New Roman"/>
        </w:rPr>
        <w:t>)</w:t>
      </w:r>
      <w:r w:rsidR="00CE6BD8" w:rsidRPr="00A245DA">
        <w:rPr>
          <w:rFonts w:ascii="Times New Roman" w:hAnsi="Times New Roman" w:cs="Times New Roman"/>
        </w:rPr>
        <w:t>,</w:t>
      </w:r>
      <w:r w:rsidR="00C936C2" w:rsidRPr="00A245DA">
        <w:rPr>
          <w:rFonts w:ascii="Times New Roman" w:hAnsi="Times New Roman" w:cs="Times New Roman"/>
        </w:rPr>
        <w:t xml:space="preserve"> </w:t>
      </w:r>
      <w:r w:rsidR="00CE6BD8" w:rsidRPr="00A245DA">
        <w:rPr>
          <w:rFonts w:ascii="Times New Roman" w:hAnsi="Times New Roman" w:cs="Times New Roman"/>
        </w:rPr>
        <w:t xml:space="preserve">tööturu ootustega lõpetajate oskustele </w:t>
      </w:r>
      <w:r w:rsidR="00983767" w:rsidRPr="00A245DA">
        <w:rPr>
          <w:rFonts w:ascii="Times New Roman" w:hAnsi="Times New Roman" w:cs="Times New Roman"/>
        </w:rPr>
        <w:t>ning õpetatavatele valdkondadele</w:t>
      </w:r>
      <w:r w:rsidR="00DA0653" w:rsidRPr="00A245DA">
        <w:rPr>
          <w:rFonts w:ascii="Times New Roman" w:hAnsi="Times New Roman" w:cs="Times New Roman"/>
        </w:rPr>
        <w:t>,</w:t>
      </w:r>
      <w:r w:rsidR="00C936C2" w:rsidRPr="00A245DA">
        <w:rPr>
          <w:rFonts w:ascii="Times New Roman" w:hAnsi="Times New Roman" w:cs="Times New Roman"/>
        </w:rPr>
        <w:t xml:space="preserve"> asutuse majandusliku jätkusuutlikkuse</w:t>
      </w:r>
      <w:r w:rsidR="00983767" w:rsidRPr="00A245DA">
        <w:rPr>
          <w:rFonts w:ascii="Times New Roman" w:hAnsi="Times New Roman" w:cs="Times New Roman"/>
        </w:rPr>
        <w:t xml:space="preserve"> ja valdkonnaga seotud arengu ootuste</w:t>
      </w:r>
      <w:r w:rsidR="00244FF4" w:rsidRPr="00A245DA">
        <w:rPr>
          <w:rFonts w:ascii="Times New Roman" w:hAnsi="Times New Roman" w:cs="Times New Roman"/>
        </w:rPr>
        <w:t>ga</w:t>
      </w:r>
      <w:r w:rsidR="00C936C2" w:rsidRPr="00A245DA">
        <w:rPr>
          <w:rFonts w:ascii="Times New Roman" w:hAnsi="Times New Roman" w:cs="Times New Roman"/>
        </w:rPr>
        <w:t>, mh arvestades struktuurimuudatuste (ühinemi</w:t>
      </w:r>
      <w:r w:rsidR="00244FF4" w:rsidRPr="00A245DA">
        <w:rPr>
          <w:rFonts w:ascii="Times New Roman" w:hAnsi="Times New Roman" w:cs="Times New Roman"/>
        </w:rPr>
        <w:t>ne</w:t>
      </w:r>
      <w:r w:rsidR="00983767" w:rsidRPr="00A245DA">
        <w:rPr>
          <w:rFonts w:ascii="Times New Roman" w:hAnsi="Times New Roman" w:cs="Times New Roman"/>
        </w:rPr>
        <w:t>, sisemis</w:t>
      </w:r>
      <w:r w:rsidR="00244FF4" w:rsidRPr="00A245DA">
        <w:rPr>
          <w:rFonts w:ascii="Times New Roman" w:hAnsi="Times New Roman" w:cs="Times New Roman"/>
        </w:rPr>
        <w:t>ed</w:t>
      </w:r>
      <w:r w:rsidR="00983767" w:rsidRPr="00A245DA">
        <w:rPr>
          <w:rFonts w:ascii="Times New Roman" w:hAnsi="Times New Roman" w:cs="Times New Roman"/>
        </w:rPr>
        <w:t xml:space="preserve"> muudatus</w:t>
      </w:r>
      <w:r w:rsidR="00244FF4" w:rsidRPr="00A245DA">
        <w:rPr>
          <w:rFonts w:ascii="Times New Roman" w:hAnsi="Times New Roman" w:cs="Times New Roman"/>
        </w:rPr>
        <w:t>ed</w:t>
      </w:r>
      <w:r w:rsidR="00C936C2" w:rsidRPr="00A245DA">
        <w:rPr>
          <w:rFonts w:ascii="Times New Roman" w:hAnsi="Times New Roman" w:cs="Times New Roman"/>
        </w:rPr>
        <w:t xml:space="preserve">) võimalusi. </w:t>
      </w:r>
      <w:r w:rsidR="002A21EF" w:rsidRPr="00A245DA">
        <w:rPr>
          <w:rFonts w:ascii="Times New Roman" w:hAnsi="Times New Roman" w:cs="Times New Roman"/>
        </w:rPr>
        <w:t>Analüüsides tuleb näidata, kuidas k</w:t>
      </w:r>
      <w:r w:rsidR="008C381C" w:rsidRPr="00A245DA">
        <w:rPr>
          <w:rFonts w:ascii="Times New Roman" w:hAnsi="Times New Roman" w:cs="Times New Roman"/>
        </w:rPr>
        <w:t xml:space="preserve">avandatavad tegevused </w:t>
      </w:r>
      <w:r w:rsidR="002A21EF" w:rsidRPr="00A245DA">
        <w:rPr>
          <w:rFonts w:ascii="Times New Roman" w:hAnsi="Times New Roman" w:cs="Times New Roman"/>
        </w:rPr>
        <w:t>tugevdavad</w:t>
      </w:r>
      <w:r w:rsidR="008C381C" w:rsidRPr="00A245DA">
        <w:rPr>
          <w:rFonts w:ascii="Times New Roman" w:hAnsi="Times New Roman" w:cs="Times New Roman"/>
        </w:rPr>
        <w:t xml:space="preserve"> asutuse keskendumist vastutusvaldkondadele ja </w:t>
      </w:r>
      <w:r w:rsidR="002A21EF" w:rsidRPr="00A245DA">
        <w:rPr>
          <w:rFonts w:ascii="Times New Roman" w:hAnsi="Times New Roman" w:cs="Times New Roman"/>
        </w:rPr>
        <w:t>täidavad</w:t>
      </w:r>
      <w:r w:rsidR="00CE6BD8" w:rsidRPr="00A245DA">
        <w:rPr>
          <w:rFonts w:ascii="Times New Roman" w:hAnsi="Times New Roman" w:cs="Times New Roman"/>
        </w:rPr>
        <w:t xml:space="preserve"> asutuse </w:t>
      </w:r>
      <w:r w:rsidR="002A21EF" w:rsidRPr="00A245DA">
        <w:rPr>
          <w:rFonts w:ascii="Times New Roman" w:hAnsi="Times New Roman" w:cs="Times New Roman"/>
        </w:rPr>
        <w:t xml:space="preserve">nn kolmandat </w:t>
      </w:r>
      <w:r w:rsidR="00CE6BD8" w:rsidRPr="00A245DA">
        <w:rPr>
          <w:rFonts w:ascii="Times New Roman" w:hAnsi="Times New Roman" w:cs="Times New Roman"/>
        </w:rPr>
        <w:t>missiooni</w:t>
      </w:r>
      <w:r w:rsidR="002A21EF" w:rsidRPr="00A245DA">
        <w:rPr>
          <w:rFonts w:ascii="Times New Roman" w:hAnsi="Times New Roman" w:cs="Times New Roman"/>
        </w:rPr>
        <w:t>,</w:t>
      </w:r>
      <w:r w:rsidR="00CE6BD8" w:rsidRPr="00A245DA">
        <w:rPr>
          <w:rFonts w:ascii="Times New Roman" w:hAnsi="Times New Roman" w:cs="Times New Roman"/>
        </w:rPr>
        <w:t xml:space="preserve"> ühiskonna teenimis</w:t>
      </w:r>
      <w:r w:rsidR="002A21EF" w:rsidRPr="00A245DA">
        <w:rPr>
          <w:rFonts w:ascii="Times New Roman" w:hAnsi="Times New Roman" w:cs="Times New Roman"/>
        </w:rPr>
        <w:t>t</w:t>
      </w:r>
      <w:r w:rsidR="008C381C" w:rsidRPr="00A245DA">
        <w:rPr>
          <w:rFonts w:ascii="Times New Roman" w:hAnsi="Times New Roman" w:cs="Times New Roman"/>
        </w:rPr>
        <w:t xml:space="preserve"> (koostöö ettevõtjatega jms)</w:t>
      </w:r>
      <w:r w:rsidR="002A21EF" w:rsidRPr="00A245DA">
        <w:rPr>
          <w:rFonts w:ascii="Times New Roman" w:hAnsi="Times New Roman" w:cs="Times New Roman"/>
        </w:rPr>
        <w:t>.</w:t>
      </w:r>
      <w:r w:rsidR="00CE6BD8" w:rsidRPr="00A245DA">
        <w:rPr>
          <w:rFonts w:ascii="Times New Roman" w:hAnsi="Times New Roman" w:cs="Times New Roman"/>
        </w:rPr>
        <w:t xml:space="preserve"> </w:t>
      </w:r>
      <w:r w:rsidR="00C936C2" w:rsidRPr="00A245DA">
        <w:rPr>
          <w:rFonts w:ascii="Times New Roman" w:hAnsi="Times New Roman" w:cs="Times New Roman"/>
        </w:rPr>
        <w:t>Selleks, et saavutada eraldatava toetuse võimalikult suurt mõju, eeldatakse</w:t>
      </w:r>
      <w:r w:rsidR="006E2AC1" w:rsidRPr="00A245DA">
        <w:rPr>
          <w:rFonts w:ascii="Times New Roman" w:hAnsi="Times New Roman" w:cs="Times New Roman"/>
        </w:rPr>
        <w:t>,</w:t>
      </w:r>
      <w:r w:rsidR="00C936C2" w:rsidRPr="00A245DA">
        <w:rPr>
          <w:rFonts w:ascii="Times New Roman" w:hAnsi="Times New Roman" w:cs="Times New Roman"/>
        </w:rPr>
        <w:t xml:space="preserve"> et </w:t>
      </w:r>
      <w:r w:rsidR="00C07B0B" w:rsidRPr="00A245DA">
        <w:rPr>
          <w:rFonts w:ascii="Times New Roman" w:hAnsi="Times New Roman" w:cs="Times New Roman"/>
        </w:rPr>
        <w:t>ülikoolide</w:t>
      </w:r>
      <w:r w:rsidR="00044ADA" w:rsidRPr="00A245DA">
        <w:rPr>
          <w:rFonts w:ascii="Times New Roman" w:hAnsi="Times New Roman" w:cs="Times New Roman"/>
        </w:rPr>
        <w:t xml:space="preserve"> poolt </w:t>
      </w:r>
      <w:r w:rsidR="00C936C2" w:rsidRPr="00A245DA">
        <w:rPr>
          <w:rFonts w:ascii="Times New Roman" w:hAnsi="Times New Roman" w:cs="Times New Roman"/>
          <w:color w:val="000000"/>
        </w:rPr>
        <w:t xml:space="preserve">kavandatavad tegevused toetavad nii kõrghariduse kui teaduse eesmärke. Lähtuvalt juba rakenduskavas kirjeldatud sekkumistega käsitletakse kõiki </w:t>
      </w:r>
      <w:r w:rsidR="005A4BB1" w:rsidRPr="00A245DA">
        <w:rPr>
          <w:rFonts w:ascii="Times New Roman" w:hAnsi="Times New Roman" w:cs="Times New Roman"/>
          <w:color w:val="000000"/>
        </w:rPr>
        <w:t>teadus- ja õppehoonetesse tehtavaid</w:t>
      </w:r>
      <w:r w:rsidR="00C936C2" w:rsidRPr="00A245DA">
        <w:rPr>
          <w:rFonts w:ascii="Times New Roman" w:hAnsi="Times New Roman" w:cs="Times New Roman"/>
          <w:color w:val="000000"/>
        </w:rPr>
        <w:t xml:space="preserve"> investeeringuid kooskõlas teadus- ja õppetegevuse kvaliteedi ja inimressursi arendamise tegevustega, mis eeldab, et ettepanekus kirjeldatakse seoseid </w:t>
      </w:r>
      <w:r w:rsidR="005A4BB1" w:rsidRPr="00A245DA">
        <w:rPr>
          <w:rFonts w:ascii="Times New Roman" w:hAnsi="Times New Roman" w:cs="Times New Roman"/>
          <w:color w:val="000000"/>
        </w:rPr>
        <w:t>teadus- ja õppehoonete rajamise</w:t>
      </w:r>
      <w:r w:rsidR="00C936C2" w:rsidRPr="00A245DA">
        <w:rPr>
          <w:rFonts w:ascii="Times New Roman" w:hAnsi="Times New Roman" w:cs="Times New Roman"/>
          <w:color w:val="000000"/>
        </w:rPr>
        <w:t xml:space="preserve"> ja teiste toetatavate tegevuste vahel. </w:t>
      </w:r>
    </w:p>
    <w:p w14:paraId="0CA3D5BA" w14:textId="187FD8EE" w:rsidR="00C936C2" w:rsidRPr="00A245DA" w:rsidRDefault="00615C7D" w:rsidP="00615C7D">
      <w:pPr>
        <w:pStyle w:val="NoSpacing"/>
        <w:tabs>
          <w:tab w:val="left" w:pos="567"/>
        </w:tabs>
        <w:jc w:val="both"/>
        <w:rPr>
          <w:rFonts w:ascii="Times New Roman" w:hAnsi="Times New Roman" w:cs="Times New Roman"/>
          <w:color w:val="000000"/>
        </w:rPr>
      </w:pPr>
      <w:r w:rsidRPr="00A245DA">
        <w:rPr>
          <w:rFonts w:ascii="Times New Roman" w:hAnsi="Times New Roman" w:cs="Times New Roman"/>
          <w:color w:val="000000"/>
        </w:rPr>
        <w:tab/>
      </w:r>
      <w:r w:rsidR="00C936C2" w:rsidRPr="00A245DA">
        <w:rPr>
          <w:rFonts w:ascii="Times New Roman" w:hAnsi="Times New Roman" w:cs="Times New Roman"/>
          <w:color w:val="000000"/>
        </w:rPr>
        <w:t xml:space="preserve">Parima sisendi asutuste arenguvajaduste kohta annavad välishindamised. Õppeasutuste välishindamist teostatakse institutsionaalse akrediteerimise kaudu, teadus- ja arendustegevuse valdkondade välishindamisi tehakse sihtevalveerimiste vormis. Lisaks teostab Eesti Kõrghariduse Kvaliteediagentuur õppekavagruppide kvaliteedi hindamist. Kõigi nimetatud hindamiste puhul antakse asutustele parendamissoovitusi, mille arvestamine (kui hindamised on asutuses toimunud) on ettepaneku koostamisel vägagi asjakohane. </w:t>
      </w:r>
    </w:p>
    <w:p w14:paraId="044AEC2F" w14:textId="5954B8BA" w:rsidR="00C936C2" w:rsidRPr="00A245DA" w:rsidRDefault="00C936C2" w:rsidP="003142A2">
      <w:pPr>
        <w:pStyle w:val="NoSpacing"/>
        <w:ind w:firstLine="708"/>
        <w:jc w:val="both"/>
        <w:rPr>
          <w:rFonts w:ascii="Times New Roman" w:hAnsi="Times New Roman" w:cs="Times New Roman"/>
          <w:color w:val="000000"/>
        </w:rPr>
      </w:pPr>
      <w:r w:rsidRPr="00A245DA">
        <w:rPr>
          <w:rFonts w:ascii="Times New Roman" w:hAnsi="Times New Roman" w:cs="Times New Roman"/>
          <w:color w:val="000000"/>
          <w:u w:val="single"/>
        </w:rPr>
        <w:t>Punkti 4</w:t>
      </w:r>
      <w:r w:rsidRPr="00A245DA">
        <w:rPr>
          <w:rFonts w:ascii="Times New Roman" w:hAnsi="Times New Roman" w:cs="Times New Roman"/>
          <w:color w:val="000000"/>
        </w:rPr>
        <w:t xml:space="preserve"> kohaselt tuleb projektis kirjeldada panust ettevõt</w:t>
      </w:r>
      <w:r w:rsidR="005A4BB1" w:rsidRPr="00A245DA">
        <w:rPr>
          <w:rFonts w:ascii="Times New Roman" w:hAnsi="Times New Roman" w:cs="Times New Roman"/>
          <w:color w:val="000000"/>
        </w:rPr>
        <w:t xml:space="preserve">etega tehtava </w:t>
      </w:r>
      <w:r w:rsidRPr="00A245DA">
        <w:rPr>
          <w:rFonts w:ascii="Times New Roman" w:hAnsi="Times New Roman" w:cs="Times New Roman"/>
          <w:color w:val="000000"/>
        </w:rPr>
        <w:t>koostöö arendamisse</w:t>
      </w:r>
      <w:r w:rsidR="00446D32" w:rsidRPr="00A245DA">
        <w:rPr>
          <w:rFonts w:ascii="Times New Roman" w:hAnsi="Times New Roman" w:cs="Times New Roman"/>
          <w:color w:val="000000"/>
        </w:rPr>
        <w:t>, panus võib olla nii otsene kui koostööle eeldusi loova või toetava mõjuga</w:t>
      </w:r>
      <w:r w:rsidRPr="00A245DA">
        <w:rPr>
          <w:rFonts w:ascii="Times New Roman" w:hAnsi="Times New Roman" w:cs="Times New Roman"/>
          <w:color w:val="000000"/>
        </w:rPr>
        <w:t xml:space="preserve">. </w:t>
      </w:r>
      <w:r w:rsidR="00FC7481" w:rsidRPr="00A245DA">
        <w:rPr>
          <w:rFonts w:ascii="Times New Roman" w:hAnsi="Times New Roman" w:cs="Times New Roman"/>
          <w:color w:val="000000"/>
        </w:rPr>
        <w:t>Juhul kui projekti ei hõlmata § 6 lõike 1 punktis 7 nimetatud ettevõt</w:t>
      </w:r>
      <w:r w:rsidR="005A4BB1" w:rsidRPr="00A245DA">
        <w:rPr>
          <w:rFonts w:ascii="Times New Roman" w:hAnsi="Times New Roman" w:cs="Times New Roman"/>
          <w:color w:val="000000"/>
        </w:rPr>
        <w:t xml:space="preserve">etega </w:t>
      </w:r>
      <w:r w:rsidR="00FC7481" w:rsidRPr="00A245DA">
        <w:rPr>
          <w:rFonts w:ascii="Times New Roman" w:hAnsi="Times New Roman" w:cs="Times New Roman"/>
          <w:color w:val="000000"/>
        </w:rPr>
        <w:t xml:space="preserve">koostöö arendamise tegevuspaketti, tuleb </w:t>
      </w:r>
      <w:r w:rsidR="00FC7481" w:rsidRPr="00A245DA">
        <w:rPr>
          <w:rFonts w:ascii="Times New Roman" w:hAnsi="Times New Roman" w:cs="Times New Roman"/>
          <w:color w:val="000000"/>
        </w:rPr>
        <w:lastRenderedPageBreak/>
        <w:t>ettepaneku</w:t>
      </w:r>
      <w:r w:rsidR="00C45FDB" w:rsidRPr="00A245DA">
        <w:rPr>
          <w:rFonts w:ascii="Times New Roman" w:hAnsi="Times New Roman" w:cs="Times New Roman"/>
          <w:color w:val="000000"/>
        </w:rPr>
        <w:t>s</w:t>
      </w:r>
      <w:r w:rsidR="00FC7481" w:rsidRPr="00A245DA">
        <w:rPr>
          <w:rFonts w:ascii="Times New Roman" w:hAnsi="Times New Roman" w:cs="Times New Roman"/>
          <w:color w:val="000000"/>
        </w:rPr>
        <w:t xml:space="preserve"> kirjeldada, kuidas kavandatud teised tegevused aitavad luua ettevõt</w:t>
      </w:r>
      <w:r w:rsidR="005A4BB1" w:rsidRPr="00A245DA">
        <w:rPr>
          <w:rFonts w:ascii="Times New Roman" w:hAnsi="Times New Roman" w:cs="Times New Roman"/>
          <w:color w:val="000000"/>
        </w:rPr>
        <w:t xml:space="preserve">etega tehtavale </w:t>
      </w:r>
      <w:r w:rsidR="00FC7481" w:rsidRPr="00A245DA">
        <w:rPr>
          <w:rFonts w:ascii="Times New Roman" w:hAnsi="Times New Roman" w:cs="Times New Roman"/>
          <w:color w:val="000000"/>
        </w:rPr>
        <w:t>koostööle eeldusi või omavad</w:t>
      </w:r>
      <w:r w:rsidR="005A4BB1" w:rsidRPr="00A245DA">
        <w:rPr>
          <w:rFonts w:ascii="Times New Roman" w:hAnsi="Times New Roman" w:cs="Times New Roman"/>
          <w:color w:val="000000"/>
        </w:rPr>
        <w:t xml:space="preserve"> sellele</w:t>
      </w:r>
      <w:r w:rsidR="00FC7481" w:rsidRPr="00A245DA">
        <w:rPr>
          <w:rFonts w:ascii="Times New Roman" w:hAnsi="Times New Roman" w:cs="Times New Roman"/>
          <w:color w:val="000000"/>
        </w:rPr>
        <w:t xml:space="preserve"> </w:t>
      </w:r>
      <w:r w:rsidR="001B1D43" w:rsidRPr="00A245DA">
        <w:rPr>
          <w:rFonts w:ascii="Times New Roman" w:hAnsi="Times New Roman" w:cs="Times New Roman"/>
          <w:color w:val="000000"/>
        </w:rPr>
        <w:t xml:space="preserve">selget </w:t>
      </w:r>
      <w:r w:rsidR="00FC7481" w:rsidRPr="00A245DA">
        <w:rPr>
          <w:rFonts w:ascii="Times New Roman" w:hAnsi="Times New Roman" w:cs="Times New Roman"/>
          <w:color w:val="000000"/>
        </w:rPr>
        <w:t xml:space="preserve">toetavat mõju. </w:t>
      </w:r>
      <w:r w:rsidRPr="00A245DA">
        <w:rPr>
          <w:rFonts w:ascii="Times New Roman" w:hAnsi="Times New Roman" w:cs="Times New Roman"/>
          <w:color w:val="000000"/>
        </w:rPr>
        <w:t xml:space="preserve">Seoseid nutika spetsialiseerumise kasvuvaldkondade arendamisega peavad kirjeldama need asutused, kelle vastutusvaldkonnad on seotud nutika spetsialiseerumise kasvuvaldkondadega. </w:t>
      </w:r>
    </w:p>
    <w:p w14:paraId="0A766C90" w14:textId="488C3137" w:rsidR="00F52637" w:rsidRPr="00A245DA" w:rsidRDefault="001477FA" w:rsidP="001477FA">
      <w:pPr>
        <w:pStyle w:val="NoSpacing"/>
        <w:tabs>
          <w:tab w:val="left" w:pos="709"/>
        </w:tabs>
        <w:jc w:val="both"/>
        <w:rPr>
          <w:rFonts w:ascii="Times New Roman" w:hAnsi="Times New Roman" w:cs="Times New Roman"/>
          <w:color w:val="000000"/>
        </w:rPr>
      </w:pPr>
      <w:r w:rsidRPr="00A245DA">
        <w:rPr>
          <w:rFonts w:ascii="Times New Roman" w:hAnsi="Times New Roman" w:cs="Times New Roman"/>
          <w:color w:val="000000"/>
        </w:rPr>
        <w:tab/>
      </w:r>
      <w:r w:rsidR="00C936C2" w:rsidRPr="00A245DA">
        <w:rPr>
          <w:rFonts w:ascii="Times New Roman" w:hAnsi="Times New Roman" w:cs="Times New Roman"/>
          <w:color w:val="000000"/>
        </w:rPr>
        <w:t xml:space="preserve">Rakenduskavas kirjeldatud sekkumiste kohaselt toetatakse </w:t>
      </w:r>
      <w:r w:rsidR="006E2AC1" w:rsidRPr="00A245DA">
        <w:rPr>
          <w:rFonts w:ascii="Times New Roman" w:hAnsi="Times New Roman" w:cs="Times New Roman"/>
          <w:color w:val="000000"/>
        </w:rPr>
        <w:t>kõrgkoolide</w:t>
      </w:r>
      <w:r w:rsidR="00C936C2" w:rsidRPr="00A245DA">
        <w:rPr>
          <w:rFonts w:ascii="Times New Roman" w:hAnsi="Times New Roman" w:cs="Times New Roman"/>
          <w:color w:val="000000"/>
        </w:rPr>
        <w:t xml:space="preserve"> ja </w:t>
      </w:r>
      <w:r w:rsidR="003142A2" w:rsidRPr="00A245DA">
        <w:rPr>
          <w:rFonts w:ascii="Times New Roman" w:hAnsi="Times New Roman" w:cs="Times New Roman"/>
          <w:color w:val="000000"/>
        </w:rPr>
        <w:t>teadus- ja arendus</w:t>
      </w:r>
      <w:r w:rsidR="00C936C2" w:rsidRPr="00A245DA">
        <w:rPr>
          <w:rFonts w:ascii="Times New Roman" w:hAnsi="Times New Roman" w:cs="Times New Roman"/>
          <w:color w:val="000000"/>
        </w:rPr>
        <w:t xml:space="preserve">asutuste institutsionaalseid reforme, et suurendada nende vastavust majanduse ja ühiskonna vajadustele. Struktuursete reformide tegemisel on üheks võimaluseks asutuste ühinemine, et tagada </w:t>
      </w:r>
      <w:r w:rsidR="00DE3DF3" w:rsidRPr="00A245DA">
        <w:rPr>
          <w:rFonts w:ascii="Times New Roman" w:hAnsi="Times New Roman" w:cs="Times New Roman"/>
          <w:color w:val="000000"/>
        </w:rPr>
        <w:t>valdkonna</w:t>
      </w:r>
      <w:r w:rsidR="00C936C2" w:rsidRPr="00A245DA">
        <w:rPr>
          <w:rFonts w:ascii="Times New Roman" w:hAnsi="Times New Roman" w:cs="Times New Roman"/>
          <w:color w:val="000000"/>
        </w:rPr>
        <w:t xml:space="preserve"> jätkusuutlikkus. Kui ettepaneku </w:t>
      </w:r>
      <w:r w:rsidR="00B90062" w:rsidRPr="00A245DA">
        <w:rPr>
          <w:rFonts w:ascii="Times New Roman" w:hAnsi="Times New Roman" w:cs="Times New Roman"/>
          <w:color w:val="000000"/>
        </w:rPr>
        <w:t>esitajal</w:t>
      </w:r>
      <w:r w:rsidR="00C936C2" w:rsidRPr="00A245DA">
        <w:rPr>
          <w:rFonts w:ascii="Times New Roman" w:hAnsi="Times New Roman" w:cs="Times New Roman"/>
          <w:color w:val="000000"/>
        </w:rPr>
        <w:t xml:space="preserve"> on kavatsus teise asutusega ühineda, siis kavatsuse tõepärasuse ja realistlikkuse hindamiseks on </w:t>
      </w:r>
      <w:r w:rsidR="00C936C2" w:rsidRPr="00A245DA">
        <w:rPr>
          <w:rFonts w:ascii="Times New Roman" w:hAnsi="Times New Roman" w:cs="Times New Roman"/>
          <w:color w:val="000000"/>
          <w:u w:val="single"/>
        </w:rPr>
        <w:t>punkti 5</w:t>
      </w:r>
      <w:r w:rsidR="00C936C2" w:rsidRPr="00A245DA">
        <w:rPr>
          <w:rFonts w:ascii="Times New Roman" w:hAnsi="Times New Roman" w:cs="Times New Roman"/>
          <w:color w:val="000000"/>
        </w:rPr>
        <w:t xml:space="preserve"> kohaselt vaja esitada ühineda kavatsevate asutuste kahepoolne eellepe või otsus. </w:t>
      </w:r>
    </w:p>
    <w:p w14:paraId="20ED97C7" w14:textId="205B70C7" w:rsidR="00C936C2" w:rsidRPr="00A245DA" w:rsidRDefault="00C936C2" w:rsidP="00DA0653">
      <w:pPr>
        <w:pStyle w:val="NoSpacing"/>
        <w:tabs>
          <w:tab w:val="left" w:pos="2891"/>
        </w:tabs>
        <w:jc w:val="both"/>
        <w:rPr>
          <w:rFonts w:ascii="Times New Roman" w:hAnsi="Times New Roman" w:cs="Times New Roman"/>
        </w:rPr>
      </w:pPr>
      <w:r w:rsidRPr="00A245DA">
        <w:rPr>
          <w:rFonts w:ascii="Times New Roman" w:hAnsi="Times New Roman" w:cs="Times New Roman"/>
          <w:color w:val="000000"/>
          <w:u w:val="single"/>
        </w:rPr>
        <w:t>Punktis 6</w:t>
      </w:r>
      <w:r w:rsidRPr="00A245DA">
        <w:rPr>
          <w:rFonts w:ascii="Times New Roman" w:hAnsi="Times New Roman" w:cs="Times New Roman"/>
          <w:color w:val="000000"/>
        </w:rPr>
        <w:t xml:space="preserve"> nimetatud nõue </w:t>
      </w:r>
      <w:r w:rsidR="003142A2" w:rsidRPr="00A245DA">
        <w:rPr>
          <w:rFonts w:ascii="Times New Roman" w:hAnsi="Times New Roman" w:cs="Times New Roman"/>
          <w:color w:val="000000"/>
        </w:rPr>
        <w:t>koostöö</w:t>
      </w:r>
      <w:r w:rsidRPr="00A245DA">
        <w:rPr>
          <w:rFonts w:ascii="Times New Roman" w:hAnsi="Times New Roman" w:cs="Times New Roman"/>
          <w:color w:val="000000"/>
        </w:rPr>
        <w:t>partneri</w:t>
      </w:r>
      <w:r w:rsidR="00D05908" w:rsidRPr="00A245DA">
        <w:rPr>
          <w:rFonts w:ascii="Times New Roman" w:hAnsi="Times New Roman" w:cs="Times New Roman"/>
          <w:color w:val="000000"/>
        </w:rPr>
        <w:t>t puudutava eelleppe</w:t>
      </w:r>
      <w:r w:rsidRPr="00A245DA">
        <w:rPr>
          <w:rFonts w:ascii="Times New Roman" w:hAnsi="Times New Roman" w:cs="Times New Roman"/>
          <w:color w:val="000000"/>
        </w:rPr>
        <w:t xml:space="preserve"> esitamise kohta on kindlasti asjakohane </w:t>
      </w:r>
      <w:r w:rsidR="006E2AC1" w:rsidRPr="00A245DA">
        <w:rPr>
          <w:rFonts w:ascii="Times New Roman" w:hAnsi="Times New Roman" w:cs="Times New Roman"/>
          <w:color w:val="000000"/>
        </w:rPr>
        <w:t xml:space="preserve">doktoriõppe </w:t>
      </w:r>
      <w:r w:rsidRPr="00A245DA">
        <w:rPr>
          <w:rFonts w:ascii="Times New Roman" w:hAnsi="Times New Roman" w:cs="Times New Roman"/>
          <w:color w:val="000000"/>
        </w:rPr>
        <w:t xml:space="preserve"> tegevuste hindamiseks</w:t>
      </w:r>
      <w:r w:rsidR="00D05908" w:rsidRPr="00A245DA">
        <w:rPr>
          <w:rFonts w:ascii="Times New Roman" w:hAnsi="Times New Roman" w:cs="Times New Roman"/>
          <w:color w:val="000000"/>
        </w:rPr>
        <w:t xml:space="preserve"> (mida tuleb teha asutuste koostöös)</w:t>
      </w:r>
      <w:r w:rsidRPr="00A245DA">
        <w:rPr>
          <w:rFonts w:ascii="Times New Roman" w:hAnsi="Times New Roman" w:cs="Times New Roman"/>
          <w:color w:val="000000"/>
        </w:rPr>
        <w:t xml:space="preserve">, samuti </w:t>
      </w:r>
      <w:r w:rsidR="005E666C" w:rsidRPr="00A245DA">
        <w:rPr>
          <w:rFonts w:ascii="Times New Roman" w:hAnsi="Times New Roman" w:cs="Times New Roman"/>
          <w:color w:val="000000"/>
        </w:rPr>
        <w:t>võib see olla</w:t>
      </w:r>
      <w:r w:rsidRPr="00A245DA">
        <w:rPr>
          <w:rFonts w:ascii="Times New Roman" w:hAnsi="Times New Roman" w:cs="Times New Roman"/>
          <w:color w:val="000000"/>
        </w:rPr>
        <w:t xml:space="preserve"> asjakohane § 6 lg 1 punktis 7 nimetatud tegevuste puhul</w:t>
      </w:r>
      <w:r w:rsidR="00D05908" w:rsidRPr="00A245DA">
        <w:rPr>
          <w:rFonts w:ascii="Times New Roman" w:hAnsi="Times New Roman" w:cs="Times New Roman"/>
          <w:color w:val="000000"/>
        </w:rPr>
        <w:t xml:space="preserve"> (</w:t>
      </w:r>
      <w:r w:rsidR="005E666C" w:rsidRPr="00A245DA">
        <w:rPr>
          <w:rFonts w:ascii="Times New Roman" w:hAnsi="Times New Roman" w:cs="Times New Roman"/>
          <w:color w:val="000000"/>
        </w:rPr>
        <w:t xml:space="preserve">koostöö arendamine </w:t>
      </w:r>
      <w:r w:rsidR="005E666C" w:rsidRPr="00A245DA">
        <w:rPr>
          <w:rFonts w:ascii="Times New Roman" w:hAnsi="Times New Roman" w:cs="Times New Roman"/>
        </w:rPr>
        <w:t>ettevõtetega</w:t>
      </w:r>
      <w:r w:rsidR="00D05908" w:rsidRPr="00A245DA">
        <w:rPr>
          <w:rFonts w:ascii="Times New Roman" w:hAnsi="Times New Roman" w:cs="Times New Roman"/>
        </w:rPr>
        <w:t>)</w:t>
      </w:r>
      <w:r w:rsidR="005E666C" w:rsidRPr="00A245DA">
        <w:rPr>
          <w:rFonts w:ascii="Times New Roman" w:hAnsi="Times New Roman" w:cs="Times New Roman"/>
        </w:rPr>
        <w:t xml:space="preserve"> ja</w:t>
      </w:r>
      <w:r w:rsidR="00D05908" w:rsidRPr="00A245DA">
        <w:rPr>
          <w:rFonts w:ascii="Times New Roman" w:hAnsi="Times New Roman" w:cs="Times New Roman"/>
        </w:rPr>
        <w:t xml:space="preserve"> võib puudutada ka teisi tegevusi (nt ühisõppekavade arendamine)</w:t>
      </w:r>
      <w:r w:rsidRPr="00A245DA">
        <w:rPr>
          <w:rFonts w:ascii="Times New Roman" w:hAnsi="Times New Roman" w:cs="Times New Roman"/>
        </w:rPr>
        <w:t xml:space="preserve">. </w:t>
      </w:r>
    </w:p>
    <w:p w14:paraId="154FC0DC" w14:textId="73D43756" w:rsidR="00F52637" w:rsidRPr="00A245DA" w:rsidRDefault="00F52637" w:rsidP="00DA0653">
      <w:pPr>
        <w:pStyle w:val="NoSpacing"/>
        <w:tabs>
          <w:tab w:val="left" w:pos="2891"/>
        </w:tabs>
        <w:jc w:val="both"/>
        <w:rPr>
          <w:rFonts w:ascii="Times New Roman" w:hAnsi="Times New Roman" w:cs="Times New Roman"/>
        </w:rPr>
      </w:pPr>
      <w:r w:rsidRPr="00A245DA">
        <w:rPr>
          <w:rFonts w:ascii="Times New Roman" w:hAnsi="Times New Roman" w:cs="Times New Roman"/>
          <w:u w:val="single"/>
        </w:rPr>
        <w:t xml:space="preserve">Punktis </w:t>
      </w:r>
      <w:r w:rsidR="005E666C" w:rsidRPr="00A245DA">
        <w:rPr>
          <w:rFonts w:ascii="Times New Roman" w:hAnsi="Times New Roman" w:cs="Times New Roman"/>
          <w:u w:val="single"/>
        </w:rPr>
        <w:t>7</w:t>
      </w:r>
      <w:r w:rsidR="006A5019" w:rsidRPr="00A245DA">
        <w:rPr>
          <w:rFonts w:ascii="Times New Roman" w:hAnsi="Times New Roman" w:cs="Times New Roman"/>
        </w:rPr>
        <w:t xml:space="preserve"> tuleb esitada kinnitus, et </w:t>
      </w:r>
      <w:r w:rsidR="005E666C" w:rsidRPr="00A245DA">
        <w:rPr>
          <w:rFonts w:ascii="Times New Roman" w:hAnsi="Times New Roman" w:cs="Times New Roman"/>
        </w:rPr>
        <w:t xml:space="preserve">ettepaneku esitaja on teadlik nõudest, mille kohaselt </w:t>
      </w:r>
      <w:r w:rsidR="006A5019" w:rsidRPr="00A245DA">
        <w:rPr>
          <w:rFonts w:ascii="Times New Roman" w:hAnsi="Times New Roman" w:cs="Times New Roman"/>
        </w:rPr>
        <w:t xml:space="preserve">projekti raames soetatud vara abil ja arendustegevuse tulemusena erasektorile teenuste osutamise korral </w:t>
      </w:r>
      <w:r w:rsidR="005E666C" w:rsidRPr="00A245DA">
        <w:rPr>
          <w:rFonts w:ascii="Times New Roman" w:hAnsi="Times New Roman" w:cs="Times New Roman"/>
        </w:rPr>
        <w:t xml:space="preserve">tuleb </w:t>
      </w:r>
      <w:r w:rsidR="006A5019" w:rsidRPr="00A245DA">
        <w:rPr>
          <w:rFonts w:ascii="Times New Roman" w:hAnsi="Times New Roman" w:cs="Times New Roman"/>
        </w:rPr>
        <w:t>seda</w:t>
      </w:r>
      <w:r w:rsidR="005E666C" w:rsidRPr="00A245DA">
        <w:rPr>
          <w:rFonts w:ascii="Times New Roman" w:hAnsi="Times New Roman" w:cs="Times New Roman"/>
        </w:rPr>
        <w:t xml:space="preserve"> teha</w:t>
      </w:r>
      <w:r w:rsidR="006A5019" w:rsidRPr="00A245DA">
        <w:rPr>
          <w:rFonts w:ascii="Times New Roman" w:hAnsi="Times New Roman" w:cs="Times New Roman"/>
        </w:rPr>
        <w:t xml:space="preserve"> üksnes turutingimustel. Antud nõue on seotud eelnõ</w:t>
      </w:r>
      <w:r w:rsidR="00CE7DF5" w:rsidRPr="00A245DA">
        <w:rPr>
          <w:rFonts w:ascii="Times New Roman" w:hAnsi="Times New Roman" w:cs="Times New Roman"/>
        </w:rPr>
        <w:t xml:space="preserve">u § 6 lõikega 6, mis on täpsemalt käsitletud </w:t>
      </w:r>
      <w:r w:rsidR="0000689D" w:rsidRPr="00A245DA">
        <w:rPr>
          <w:rFonts w:ascii="Times New Roman" w:hAnsi="Times New Roman" w:cs="Times New Roman"/>
        </w:rPr>
        <w:t>käesoleva seletuskirja osas, mis puudutab §</w:t>
      </w:r>
      <w:r w:rsidR="00E16782" w:rsidRPr="00A245DA">
        <w:rPr>
          <w:rFonts w:ascii="Times New Roman" w:hAnsi="Times New Roman" w:cs="Times New Roman"/>
        </w:rPr>
        <w:t xml:space="preserve"> 6 lõike 6 kohta antud selgitusi</w:t>
      </w:r>
      <w:r w:rsidR="0000689D" w:rsidRPr="00A245DA">
        <w:rPr>
          <w:rFonts w:ascii="Times New Roman" w:hAnsi="Times New Roman" w:cs="Times New Roman"/>
        </w:rPr>
        <w:t xml:space="preserve">. </w:t>
      </w:r>
    </w:p>
    <w:p w14:paraId="071039D0" w14:textId="22009655" w:rsidR="00DA0653" w:rsidRPr="00A245DA" w:rsidRDefault="00C936C2" w:rsidP="00DA0653">
      <w:pPr>
        <w:pStyle w:val="NoSpacing"/>
        <w:tabs>
          <w:tab w:val="left" w:pos="2891"/>
        </w:tabs>
        <w:jc w:val="both"/>
        <w:rPr>
          <w:rFonts w:ascii="Times New Roman" w:hAnsi="Times New Roman" w:cs="Times New Roman"/>
        </w:rPr>
      </w:pPr>
      <w:r w:rsidRPr="00A245DA">
        <w:rPr>
          <w:rFonts w:ascii="Times New Roman" w:hAnsi="Times New Roman" w:cs="Times New Roman"/>
          <w:u w:val="single"/>
        </w:rPr>
        <w:t xml:space="preserve">Punktis </w:t>
      </w:r>
      <w:r w:rsidR="005E666C" w:rsidRPr="00A245DA">
        <w:rPr>
          <w:rFonts w:ascii="Times New Roman" w:hAnsi="Times New Roman" w:cs="Times New Roman"/>
          <w:u w:val="single"/>
        </w:rPr>
        <w:t>8</w:t>
      </w:r>
      <w:r w:rsidRPr="00A245DA">
        <w:rPr>
          <w:rFonts w:ascii="Times New Roman" w:hAnsi="Times New Roman" w:cs="Times New Roman"/>
        </w:rPr>
        <w:t xml:space="preserve"> nõutud finantsanalüüs</w:t>
      </w:r>
      <w:r w:rsidR="00BB7AEE" w:rsidRPr="00A245DA">
        <w:rPr>
          <w:rFonts w:ascii="Times New Roman" w:hAnsi="Times New Roman" w:cs="Times New Roman"/>
        </w:rPr>
        <w:t xml:space="preserve"> on vaja esitada</w:t>
      </w:r>
      <w:r w:rsidRPr="00A245DA">
        <w:rPr>
          <w:rFonts w:ascii="Times New Roman" w:hAnsi="Times New Roman" w:cs="Times New Roman"/>
        </w:rPr>
        <w:t xml:space="preserve"> </w:t>
      </w:r>
      <w:r w:rsidR="00583615" w:rsidRPr="00A245DA">
        <w:rPr>
          <w:rFonts w:ascii="Times New Roman" w:hAnsi="Times New Roman" w:cs="Times New Roman"/>
        </w:rPr>
        <w:t xml:space="preserve">üle 1 000 000 euro abikõlbliku kogumaksumusega </w:t>
      </w:r>
      <w:r w:rsidR="00F750F8" w:rsidRPr="00A245DA">
        <w:rPr>
          <w:rFonts w:ascii="Times New Roman" w:hAnsi="Times New Roman" w:cs="Times New Roman"/>
        </w:rPr>
        <w:t xml:space="preserve">tulu teeniva </w:t>
      </w:r>
      <w:r w:rsidR="00583615" w:rsidRPr="00A245DA">
        <w:rPr>
          <w:rFonts w:ascii="Times New Roman" w:hAnsi="Times New Roman" w:cs="Times New Roman"/>
        </w:rPr>
        <w:t>projekti puhul</w:t>
      </w:r>
      <w:r w:rsidR="00BB7AEE" w:rsidRPr="00A245DA">
        <w:rPr>
          <w:rFonts w:ascii="Times New Roman" w:hAnsi="Times New Roman" w:cs="Times New Roman"/>
        </w:rPr>
        <w:t>, et</w:t>
      </w:r>
      <w:r w:rsidR="00583615" w:rsidRPr="00A245DA">
        <w:rPr>
          <w:rFonts w:ascii="Times New Roman" w:hAnsi="Times New Roman" w:cs="Times New Roman"/>
        </w:rPr>
        <w:t xml:space="preserve"> hin</w:t>
      </w:r>
      <w:r w:rsidR="00BB7AEE" w:rsidRPr="00A245DA">
        <w:rPr>
          <w:rFonts w:ascii="Times New Roman" w:hAnsi="Times New Roman" w:cs="Times New Roman"/>
        </w:rPr>
        <w:t>nata</w:t>
      </w:r>
      <w:r w:rsidR="00583615" w:rsidRPr="00A245DA">
        <w:rPr>
          <w:rFonts w:ascii="Times New Roman" w:hAnsi="Times New Roman" w:cs="Times New Roman"/>
        </w:rPr>
        <w:t xml:space="preserve"> projektide puhastulu teenimise võimalusi</w:t>
      </w:r>
      <w:r w:rsidR="00BB7AEE" w:rsidRPr="00A245DA">
        <w:rPr>
          <w:rFonts w:ascii="Times New Roman" w:hAnsi="Times New Roman" w:cs="Times New Roman"/>
        </w:rPr>
        <w:t xml:space="preserve"> ja toetuse vajadust.</w:t>
      </w:r>
      <w:r w:rsidR="00F750F8" w:rsidRPr="00A245DA">
        <w:rPr>
          <w:rFonts w:ascii="Times New Roman" w:hAnsi="Times New Roman" w:cs="Times New Roman"/>
        </w:rPr>
        <w:t xml:space="preserve"> </w:t>
      </w:r>
      <w:r w:rsidR="00DA0653" w:rsidRPr="00A245DA">
        <w:rPr>
          <w:rFonts w:ascii="Times New Roman" w:hAnsi="Times New Roman" w:cs="Times New Roman"/>
        </w:rPr>
        <w:t xml:space="preserve">Võib eeldada, et ASTRA raames ei ole tulu teenivad projektid üldjuhul võimalikud, kuid siiski võivad esineda, mistõttu selliseid juhtumeid puudutav regulatsioon peab olema määruses ette nähtud. Seega, kui tegemist on üle 1 000 000 eurose projektiga, mille puhul võib eelnevalt hinnata tulu teenimise võimalust (nt ehitus, aparatuur, kindla turuga teenuste väljatöötamine), tuleb koos ettepanekuga esitada finantsanalüüs. Analüüs peaks hõlmama neid projekti osasid, kus tulu on eelnevalt hinnatav, nt kui ettepanek hõlmab aparatuuri soetamist, doktorikoolide tegevusi ja teisi sisutegevusi, tuleks analüüsida ainult aparatuuri osa. </w:t>
      </w:r>
    </w:p>
    <w:p w14:paraId="60CF5567" w14:textId="77777777" w:rsidR="00B04F65" w:rsidRPr="00A245DA" w:rsidRDefault="00F50B84" w:rsidP="00B04F65">
      <w:pPr>
        <w:spacing w:before="100" w:beforeAutospacing="1" w:after="100" w:afterAutospacing="1" w:line="276" w:lineRule="auto"/>
        <w:rPr>
          <w:rFonts w:ascii="Times New Roman" w:eastAsia="Calibri" w:hAnsi="Times New Roman"/>
          <w:lang w:eastAsia="et-EE"/>
        </w:rPr>
      </w:pPr>
      <w:r w:rsidRPr="00A245DA">
        <w:rPr>
          <w:rFonts w:ascii="Times New Roman" w:eastAsia="Calibri" w:hAnsi="Times New Roman"/>
          <w:u w:val="single"/>
          <w:lang w:eastAsia="et-EE"/>
        </w:rPr>
        <w:t>Punktis 9</w:t>
      </w:r>
      <w:r w:rsidRPr="00A245DA">
        <w:rPr>
          <w:rFonts w:ascii="Times New Roman" w:eastAsia="Calibri" w:hAnsi="Times New Roman"/>
          <w:lang w:eastAsia="et-EE"/>
        </w:rPr>
        <w:t xml:space="preserve"> </w:t>
      </w:r>
      <w:r w:rsidR="008F34A1" w:rsidRPr="00A245DA">
        <w:rPr>
          <w:rFonts w:ascii="Times New Roman" w:eastAsia="Calibri" w:hAnsi="Times New Roman"/>
          <w:lang w:eastAsia="et-EE"/>
        </w:rPr>
        <w:t>on sätestatud, et juhul kui toetust kasutatakse majandustegevuseks, peab ettepanek sisaldama vastavaid andmeid majandustegevuse ulatuse kohta, mille alusel oleks võimalik hinnata, kas sellise tegevuse aastane maht ületab 20% teadusuuringute infrastruktuuri üldisest aastasest mahust.</w:t>
      </w:r>
      <w:r w:rsidRPr="00A245DA">
        <w:rPr>
          <w:rFonts w:ascii="Times New Roman" w:eastAsia="Calibri" w:hAnsi="Times New Roman"/>
          <w:lang w:eastAsia="et-EE"/>
        </w:rPr>
        <w:t xml:space="preserve"> </w:t>
      </w:r>
      <w:r w:rsidR="00D50D81" w:rsidRPr="00A245DA">
        <w:rPr>
          <w:rFonts w:ascii="Times New Roman" w:eastAsia="Calibri" w:hAnsi="Times New Roman"/>
          <w:lang w:eastAsia="et-EE"/>
        </w:rPr>
        <w:t xml:space="preserve">Vastavalt komisjoni üldise grupierandi määruse nr 651/2014 preambula punktile 49, kui taristut kasutatakse peaaegu täielikult mittemajanduslikuks tegevuseks, võib selle rahastamine olla kogu ulatuses riigiabi eeskirjadest väljaspool, eeldusel, et seda kasutatakse selgelt kõrvaliseks majandustegevuseks, s.t. tegevuseks, mis on otseselt seotud ja vajalik taristu toimimiseks või lahutamatult seotud peamise mittemajandusliku tegevusega, ning tegevuse ulatus on piiratud. Tingimus loetakse täidetuks, kui majandustegevus kasutab samu sisendeid (nt materjalid, varustus, tööjõud ja põhikapital) kui mittemajanduslik tegevus ning sellisele tegevusele aastas eraldatud maht ei ületa 20% teadusuuringute taristu üldisest aastasest mahust. Eeltoodust tuleneb ettepaneku esitajale kohustus vastavate andmete esitamiseks, et oleks võimalik juba ettepaneku menetlemise käigus kontrollida, kas vastav tingimus on täidetud. </w:t>
      </w:r>
      <w:r w:rsidR="00CF2E18" w:rsidRPr="00A245DA">
        <w:rPr>
          <w:rFonts w:ascii="Times New Roman" w:eastAsia="Calibri" w:hAnsi="Times New Roman"/>
          <w:lang w:eastAsia="et-EE"/>
        </w:rPr>
        <w:t xml:space="preserve">Siiski </w:t>
      </w:r>
      <w:r w:rsidR="00715E0C" w:rsidRPr="00A245DA">
        <w:rPr>
          <w:rFonts w:ascii="Times New Roman" w:eastAsia="Calibri" w:hAnsi="Times New Roman"/>
          <w:lang w:eastAsia="et-EE"/>
        </w:rPr>
        <w:t>võiks eeldada</w:t>
      </w:r>
      <w:r w:rsidR="00CF2E18" w:rsidRPr="00A245DA">
        <w:rPr>
          <w:rFonts w:ascii="Times New Roman" w:eastAsia="Calibri" w:hAnsi="Times New Roman"/>
          <w:lang w:eastAsia="et-EE"/>
        </w:rPr>
        <w:t>, et a</w:t>
      </w:r>
      <w:r w:rsidR="00D50D81" w:rsidRPr="00A245DA">
        <w:rPr>
          <w:rFonts w:ascii="Times New Roman" w:eastAsia="Calibri" w:hAnsi="Times New Roman"/>
          <w:lang w:eastAsia="et-EE"/>
        </w:rPr>
        <w:t xml:space="preserve">rvestades ASTRA sihtgruppi, kelleks on riigi ja avalik-õiguslikud teadus- ja arendusasutused ja kõrgkoolid, </w:t>
      </w:r>
      <w:r w:rsidR="00715E0C" w:rsidRPr="00A245DA">
        <w:rPr>
          <w:rFonts w:ascii="Times New Roman" w:eastAsia="Calibri" w:hAnsi="Times New Roman"/>
          <w:lang w:eastAsia="et-EE"/>
        </w:rPr>
        <w:t>ei ole</w:t>
      </w:r>
      <w:r w:rsidR="00D50D81" w:rsidRPr="00A245DA">
        <w:rPr>
          <w:rFonts w:ascii="Times New Roman" w:eastAsia="Calibri" w:hAnsi="Times New Roman"/>
          <w:lang w:eastAsia="et-EE"/>
        </w:rPr>
        <w:t xml:space="preserve"> nende hulgas </w:t>
      </w:r>
      <w:r w:rsidR="00715E0C" w:rsidRPr="00A245DA">
        <w:rPr>
          <w:rFonts w:ascii="Times New Roman" w:eastAsia="Calibri" w:hAnsi="Times New Roman"/>
          <w:lang w:eastAsia="et-EE"/>
        </w:rPr>
        <w:t>selliseid asutusi</w:t>
      </w:r>
      <w:r w:rsidR="00D50D81" w:rsidRPr="00A245DA">
        <w:rPr>
          <w:rFonts w:ascii="Times New Roman" w:eastAsia="Calibri" w:hAnsi="Times New Roman"/>
          <w:lang w:eastAsia="et-EE"/>
        </w:rPr>
        <w:t>, mille puhul majanduslik tegevus võiks ületada 20%</w:t>
      </w:r>
      <w:r w:rsidR="001165EA" w:rsidRPr="00A245DA">
        <w:rPr>
          <w:rFonts w:ascii="Times New Roman" w:eastAsia="Calibri" w:hAnsi="Times New Roman"/>
          <w:lang w:eastAsia="et-EE"/>
        </w:rPr>
        <w:t>.</w:t>
      </w:r>
    </w:p>
    <w:p w14:paraId="1C2F42F1" w14:textId="0D0C4C6D" w:rsidR="00C936C2" w:rsidRPr="00A245DA" w:rsidRDefault="001B1D43" w:rsidP="00B04F65">
      <w:pPr>
        <w:spacing w:before="100" w:beforeAutospacing="1" w:after="100" w:afterAutospacing="1" w:line="276" w:lineRule="auto"/>
        <w:rPr>
          <w:rFonts w:ascii="Times New Roman" w:hAnsi="Times New Roman"/>
          <w:color w:val="000000"/>
        </w:rPr>
      </w:pPr>
      <w:r w:rsidRPr="00A245DA">
        <w:rPr>
          <w:rFonts w:ascii="Times New Roman" w:eastAsia="Calibri" w:hAnsi="Times New Roman"/>
          <w:u w:val="single"/>
          <w:lang w:eastAsia="et-EE"/>
        </w:rPr>
        <w:t>Punktide 10 ja 11</w:t>
      </w:r>
      <w:r w:rsidRPr="00A245DA">
        <w:rPr>
          <w:rFonts w:ascii="Times New Roman" w:eastAsia="Calibri" w:hAnsi="Times New Roman"/>
          <w:lang w:eastAsia="et-EE"/>
        </w:rPr>
        <w:t xml:space="preserve"> kohaselt tuleb ettepanekus kirjeldada kavandatavate tegevuste mõju võrdsete võimaluste tagamisel lähtuvalt </w:t>
      </w:r>
      <w:r w:rsidRPr="00A245DA">
        <w:rPr>
          <w:rFonts w:ascii="Times New Roman" w:eastAsiaTheme="minorHAnsi" w:hAnsi="Times New Roman"/>
          <w:iCs/>
        </w:rPr>
        <w:t>Euroopa Parlamendi ja Nõukogu määruse nr 1303/2013 artiklist 7 „Meeste ja naiste võrdõiguslikkuse edendamine ja mittediskrimineerimine“. Samuti tuleb tegevuste elluviimisel järgida sama määruse artikli 8 „Säästev areng“ nõudeid.</w:t>
      </w:r>
    </w:p>
    <w:p w14:paraId="5C27CD33" w14:textId="2801EDC1" w:rsidR="00C936C2" w:rsidRPr="00A245DA" w:rsidRDefault="00C936C2" w:rsidP="00C936C2">
      <w:pPr>
        <w:pStyle w:val="NoSpacing"/>
        <w:tabs>
          <w:tab w:val="left" w:pos="2891"/>
        </w:tabs>
        <w:jc w:val="both"/>
        <w:rPr>
          <w:rFonts w:ascii="Times New Roman" w:hAnsi="Times New Roman" w:cs="Times New Roman"/>
          <w:color w:val="000000"/>
        </w:rPr>
      </w:pPr>
      <w:r w:rsidRPr="00A245DA">
        <w:rPr>
          <w:rFonts w:ascii="Times New Roman" w:hAnsi="Times New Roman" w:cs="Times New Roman"/>
          <w:color w:val="000000"/>
          <w:u w:val="single"/>
        </w:rPr>
        <w:t xml:space="preserve">§-s 12 </w:t>
      </w:r>
      <w:r w:rsidRPr="00A245DA">
        <w:rPr>
          <w:rFonts w:ascii="Times New Roman" w:hAnsi="Times New Roman" w:cs="Times New Roman"/>
          <w:color w:val="000000"/>
        </w:rPr>
        <w:t>on kirjeldatud ettepaneku nõuetele vastavaks tunnistamise protsessi</w:t>
      </w:r>
      <w:r w:rsidR="009144DE" w:rsidRPr="00A245DA">
        <w:rPr>
          <w:rFonts w:ascii="Times New Roman" w:hAnsi="Times New Roman" w:cs="Times New Roman"/>
          <w:color w:val="000000"/>
        </w:rPr>
        <w:t>, mida järgitakse sarnaselt nii nende ettepanekute osas, mis sisaldavad investeeringuid teadus- ja õppehoonetesse (§ 6 lg 1 p 1), kui ettepanekute osas, mis selliseid investeeringuid ei hõlma.</w:t>
      </w:r>
      <w:r w:rsidRPr="00A245DA">
        <w:rPr>
          <w:rFonts w:ascii="Times New Roman" w:hAnsi="Times New Roman" w:cs="Times New Roman"/>
          <w:color w:val="000000"/>
        </w:rPr>
        <w:t xml:space="preserve"> </w:t>
      </w:r>
    </w:p>
    <w:p w14:paraId="7DF7F976" w14:textId="251C7B3A" w:rsidR="00C936C2" w:rsidRPr="00A245DA" w:rsidRDefault="00C936C2" w:rsidP="00C936C2">
      <w:pPr>
        <w:pStyle w:val="NoSpacing"/>
        <w:tabs>
          <w:tab w:val="left" w:pos="2891"/>
        </w:tabs>
        <w:jc w:val="both"/>
        <w:rPr>
          <w:rFonts w:ascii="Times New Roman" w:hAnsi="Times New Roman" w:cs="Times New Roman"/>
          <w:color w:val="000000"/>
        </w:rPr>
      </w:pPr>
      <w:r w:rsidRPr="00A245DA">
        <w:rPr>
          <w:rFonts w:ascii="Times New Roman" w:hAnsi="Times New Roman" w:cs="Times New Roman"/>
          <w:color w:val="000000"/>
        </w:rPr>
        <w:t xml:space="preserve">Nõuetele vastavaks tunnistatakse </w:t>
      </w:r>
      <w:r w:rsidR="006F17D8" w:rsidRPr="00A245DA">
        <w:rPr>
          <w:rFonts w:ascii="Times New Roman" w:hAnsi="Times New Roman" w:cs="Times New Roman"/>
          <w:color w:val="000000"/>
        </w:rPr>
        <w:t>ettepanek</w:t>
      </w:r>
      <w:r w:rsidRPr="00A245DA">
        <w:rPr>
          <w:rFonts w:ascii="Times New Roman" w:hAnsi="Times New Roman" w:cs="Times New Roman"/>
          <w:color w:val="000000"/>
        </w:rPr>
        <w:t xml:space="preserve">, mis vastab </w:t>
      </w:r>
      <w:r w:rsidR="005E666C" w:rsidRPr="00A245DA">
        <w:rPr>
          <w:rFonts w:ascii="Times New Roman" w:hAnsi="Times New Roman" w:cs="Times New Roman"/>
          <w:color w:val="000000"/>
        </w:rPr>
        <w:t xml:space="preserve">§ 11 lõigetes 1 ja 2 esitatud nõuetele (nõuded ettepanekule) ja § 10 lõikes 1 nimetatud ettepaneku esitaja nõuetele. </w:t>
      </w:r>
      <w:r w:rsidRPr="00A245DA">
        <w:rPr>
          <w:rFonts w:ascii="Times New Roman" w:hAnsi="Times New Roman" w:cs="Times New Roman"/>
          <w:color w:val="000000"/>
        </w:rPr>
        <w:t xml:space="preserve">Kui ettepanekus leitakse puudusi, antakse sellest ettepaneku esitajale teada ja kui leitud puudust on võimalik kõrvaldada, antakse </w:t>
      </w:r>
      <w:r w:rsidRPr="00A245DA">
        <w:rPr>
          <w:rFonts w:ascii="Times New Roman" w:hAnsi="Times New Roman" w:cs="Times New Roman"/>
          <w:color w:val="000000"/>
        </w:rPr>
        <w:lastRenderedPageBreak/>
        <w:t xml:space="preserve">võimalus puuduse kõrvaldamiseks. Puuduse kõrvaldamiseks antav tähtaeg sõltub puuduse kõrvaldamisele kuluvast realistlikust ajast. Kui </w:t>
      </w:r>
      <w:r w:rsidR="005E666C" w:rsidRPr="00A245DA">
        <w:rPr>
          <w:rFonts w:ascii="Times New Roman" w:hAnsi="Times New Roman" w:cs="Times New Roman"/>
          <w:color w:val="000000"/>
        </w:rPr>
        <w:t xml:space="preserve">ettepanek ei vasta § 11 lõigetes 1 ja 2 ja § 10 lõikes 1 sätestatud nõuetele ning </w:t>
      </w:r>
      <w:r w:rsidRPr="00A245DA">
        <w:rPr>
          <w:rFonts w:ascii="Times New Roman" w:hAnsi="Times New Roman" w:cs="Times New Roman"/>
          <w:color w:val="000000"/>
        </w:rPr>
        <w:t>puudusi ei kõrvaldata antud tähtaja jooksul, tunnistatakse ettepanek nõuetele mittevastavaks. Sel juhul ei esitata ettepanekut ka edasisele hindamisele.</w:t>
      </w:r>
      <w:r w:rsidR="00392A53" w:rsidRPr="00A245DA">
        <w:rPr>
          <w:rFonts w:ascii="Times New Roman" w:hAnsi="Times New Roman" w:cs="Times New Roman"/>
          <w:color w:val="000000"/>
        </w:rPr>
        <w:t xml:space="preserve"> </w:t>
      </w:r>
      <w:r w:rsidR="005E666C" w:rsidRPr="00A245DA">
        <w:rPr>
          <w:rFonts w:ascii="Times New Roman" w:hAnsi="Times New Roman" w:cs="Times New Roman"/>
          <w:color w:val="000000"/>
        </w:rPr>
        <w:t>E</w:t>
      </w:r>
      <w:r w:rsidRPr="00A245DA">
        <w:rPr>
          <w:rFonts w:ascii="Times New Roman" w:hAnsi="Times New Roman" w:cs="Times New Roman"/>
          <w:color w:val="000000"/>
        </w:rPr>
        <w:t>ttepaneku esitaja teavitamine on kirjeldatud käesoleva määruse §-s 17.</w:t>
      </w:r>
    </w:p>
    <w:p w14:paraId="2D2A1F33" w14:textId="77777777" w:rsidR="00C936C2" w:rsidRPr="00A245DA" w:rsidRDefault="00C936C2" w:rsidP="00C936C2">
      <w:pPr>
        <w:pStyle w:val="NoSpacing"/>
        <w:tabs>
          <w:tab w:val="left" w:pos="2891"/>
        </w:tabs>
        <w:jc w:val="both"/>
        <w:rPr>
          <w:rFonts w:ascii="Times New Roman" w:hAnsi="Times New Roman" w:cs="Times New Roman"/>
          <w:color w:val="000000"/>
        </w:rPr>
      </w:pPr>
    </w:p>
    <w:p w14:paraId="43FBC0C4" w14:textId="1EA63C9D" w:rsidR="00C936C2" w:rsidRPr="00A245DA" w:rsidRDefault="00C936C2" w:rsidP="00C936C2">
      <w:pPr>
        <w:pStyle w:val="NoSpacing"/>
        <w:tabs>
          <w:tab w:val="left" w:pos="2891"/>
        </w:tabs>
        <w:jc w:val="both"/>
        <w:rPr>
          <w:rFonts w:ascii="Times New Roman" w:hAnsi="Times New Roman" w:cs="Times New Roman"/>
          <w:color w:val="000000"/>
        </w:rPr>
      </w:pPr>
      <w:r w:rsidRPr="00A245DA">
        <w:rPr>
          <w:rFonts w:ascii="Times New Roman" w:hAnsi="Times New Roman" w:cs="Times New Roman"/>
          <w:color w:val="000000"/>
          <w:u w:val="single"/>
        </w:rPr>
        <w:t xml:space="preserve">§-s 13 </w:t>
      </w:r>
      <w:r w:rsidRPr="00A245DA">
        <w:rPr>
          <w:rFonts w:ascii="Times New Roman" w:hAnsi="Times New Roman" w:cs="Times New Roman"/>
          <w:color w:val="000000"/>
        </w:rPr>
        <w:t xml:space="preserve">kirjeldatakse ettepanekute hindamiskomisjoni ja ASTRA juhtkomisjoni moodustamist ja ülesandeid. </w:t>
      </w:r>
    </w:p>
    <w:p w14:paraId="2C1F05DB" w14:textId="5B4ED096" w:rsidR="00C936C2" w:rsidRPr="00A245DA" w:rsidRDefault="00615C7D" w:rsidP="00615C7D">
      <w:pPr>
        <w:pStyle w:val="NoSpacing"/>
        <w:tabs>
          <w:tab w:val="left" w:pos="426"/>
        </w:tabs>
        <w:jc w:val="both"/>
        <w:rPr>
          <w:rFonts w:ascii="Times New Roman" w:hAnsi="Times New Roman" w:cs="Times New Roman"/>
          <w:color w:val="000000"/>
        </w:rPr>
      </w:pPr>
      <w:r w:rsidRPr="00A245DA">
        <w:rPr>
          <w:rFonts w:ascii="Times New Roman" w:hAnsi="Times New Roman" w:cs="Times New Roman"/>
          <w:color w:val="000000"/>
        </w:rPr>
        <w:tab/>
      </w:r>
      <w:r w:rsidR="009144DE" w:rsidRPr="00A245DA">
        <w:rPr>
          <w:rFonts w:ascii="Times New Roman" w:hAnsi="Times New Roman" w:cs="Times New Roman"/>
          <w:color w:val="000000"/>
        </w:rPr>
        <w:t>E</w:t>
      </w:r>
      <w:r w:rsidR="00C936C2" w:rsidRPr="00A245DA">
        <w:rPr>
          <w:rFonts w:ascii="Times New Roman" w:hAnsi="Times New Roman" w:cs="Times New Roman"/>
          <w:color w:val="000000"/>
        </w:rPr>
        <w:t>ttepanekute hindamiskomisjoni moodustab rakendusüksus rakendusasutuse ettepanekul. Hindamiskomisjoni liikmed ja hindamisse kaasatud eksperdid peavad olema kompetentsed, erapooletud ja vastama teistele STS § 21 lõikes 4 toodud nõuetele.</w:t>
      </w:r>
      <w:r w:rsidR="00F83F80" w:rsidRPr="00A245DA">
        <w:rPr>
          <w:rFonts w:ascii="Times New Roman" w:hAnsi="Times New Roman" w:cs="Times New Roman"/>
          <w:color w:val="000000"/>
        </w:rPr>
        <w:t xml:space="preserve"> Hindamiskomisjoni kaasatakse ka ettevõtjate esindajaid.</w:t>
      </w:r>
    </w:p>
    <w:p w14:paraId="3D30768E" w14:textId="64CF6687" w:rsidR="00C936C2" w:rsidRPr="00A245DA" w:rsidRDefault="00C936C2" w:rsidP="00615C7D">
      <w:pPr>
        <w:pStyle w:val="NoSpacing"/>
        <w:ind w:firstLine="708"/>
        <w:jc w:val="both"/>
        <w:rPr>
          <w:rFonts w:ascii="Times New Roman" w:hAnsi="Times New Roman" w:cs="Times New Roman"/>
          <w:color w:val="000000"/>
        </w:rPr>
      </w:pPr>
      <w:r w:rsidRPr="00A245DA">
        <w:rPr>
          <w:rFonts w:ascii="Times New Roman" w:hAnsi="Times New Roman" w:cs="Times New Roman"/>
          <w:color w:val="000000"/>
        </w:rPr>
        <w:t>ASTRA paremaks elluviimiseks moodustab rakendusüksus rakendusasutuse ettepanekul ASTRA juhtkomisjoni, mille ülesandeks on ASTRA tulemuslikkuse jälgimine rakendusüksuse poolt esitatud projektide aastaaruannete kokkuvõtete põhjal, ASTRA vahehindamine 2019. aastal ja rakendusüksusele ettepanekute tegemine, mis aitavad ASTRA</w:t>
      </w:r>
      <w:r w:rsidR="003142A2" w:rsidRPr="00A245DA">
        <w:rPr>
          <w:rFonts w:ascii="Times New Roman" w:hAnsi="Times New Roman" w:cs="Times New Roman"/>
          <w:color w:val="000000"/>
        </w:rPr>
        <w:t>-</w:t>
      </w:r>
      <w:r w:rsidRPr="00A245DA">
        <w:rPr>
          <w:rFonts w:ascii="Times New Roman" w:hAnsi="Times New Roman" w:cs="Times New Roman"/>
          <w:color w:val="000000"/>
        </w:rPr>
        <w:t xml:space="preserve">t paremini ellu viia. </w:t>
      </w:r>
      <w:r w:rsidR="008372B1" w:rsidRPr="00A245DA">
        <w:rPr>
          <w:rFonts w:ascii="Times New Roman" w:hAnsi="Times New Roman" w:cs="Times New Roman"/>
          <w:color w:val="000000"/>
        </w:rPr>
        <w:t xml:space="preserve">Juhtkomisjoni koosseisu arvatakse ka hindamiskomisjoni liikmeid, et tagada projektide objektiivne seire. </w:t>
      </w:r>
    </w:p>
    <w:p w14:paraId="320434A8" w14:textId="2CC157D7" w:rsidR="003C135F" w:rsidRPr="00A245DA" w:rsidRDefault="003C135F" w:rsidP="003C135F">
      <w:pPr>
        <w:pStyle w:val="NoSpacing"/>
        <w:jc w:val="both"/>
        <w:rPr>
          <w:rFonts w:ascii="Times New Roman" w:hAnsi="Times New Roman" w:cs="Times New Roman"/>
          <w:lang w:eastAsia="et-EE"/>
        </w:rPr>
      </w:pPr>
    </w:p>
    <w:p w14:paraId="24E8F5ED" w14:textId="5A01C815" w:rsidR="003C135F" w:rsidRPr="00A245DA" w:rsidRDefault="00C936C2" w:rsidP="003C135F">
      <w:pPr>
        <w:pStyle w:val="NoSpacing"/>
        <w:jc w:val="both"/>
        <w:rPr>
          <w:rFonts w:ascii="Times New Roman" w:hAnsi="Times New Roman" w:cs="Times New Roman"/>
          <w:lang w:eastAsia="et-EE"/>
        </w:rPr>
      </w:pPr>
      <w:r w:rsidRPr="00A245DA">
        <w:rPr>
          <w:rFonts w:ascii="Times New Roman" w:hAnsi="Times New Roman" w:cs="Times New Roman"/>
          <w:u w:val="single"/>
          <w:lang w:eastAsia="et-EE"/>
        </w:rPr>
        <w:t>§ 14</w:t>
      </w:r>
      <w:r w:rsidR="003C135F" w:rsidRPr="00A245DA">
        <w:rPr>
          <w:rFonts w:ascii="Times New Roman" w:hAnsi="Times New Roman" w:cs="Times New Roman"/>
          <w:lang w:eastAsia="et-EE"/>
        </w:rPr>
        <w:t xml:space="preserve"> kirjeldab</w:t>
      </w:r>
      <w:r w:rsidR="00B9015E" w:rsidRPr="00A245DA">
        <w:rPr>
          <w:rFonts w:ascii="Times New Roman" w:hAnsi="Times New Roman" w:cs="Times New Roman"/>
          <w:lang w:eastAsia="et-EE"/>
        </w:rPr>
        <w:t xml:space="preserve"> </w:t>
      </w:r>
      <w:r w:rsidR="003C135F" w:rsidRPr="00A245DA">
        <w:rPr>
          <w:rFonts w:ascii="Times New Roman" w:hAnsi="Times New Roman" w:cs="Times New Roman"/>
          <w:lang w:eastAsia="et-EE"/>
        </w:rPr>
        <w:t xml:space="preserve">ettepanekute </w:t>
      </w:r>
      <w:r w:rsidR="009144DE" w:rsidRPr="00A245DA">
        <w:rPr>
          <w:rFonts w:ascii="Times New Roman" w:hAnsi="Times New Roman" w:cs="Times New Roman"/>
          <w:lang w:eastAsia="et-EE"/>
        </w:rPr>
        <w:t xml:space="preserve">hindamist, </w:t>
      </w:r>
      <w:r w:rsidR="003C135F" w:rsidRPr="00A245DA">
        <w:rPr>
          <w:rFonts w:ascii="Times New Roman" w:hAnsi="Times New Roman" w:cs="Times New Roman"/>
          <w:lang w:eastAsia="et-EE"/>
        </w:rPr>
        <w:t>hindamiskriteeriume ja valikumetoodikat.</w:t>
      </w:r>
    </w:p>
    <w:p w14:paraId="182F55E0" w14:textId="1165B02A" w:rsidR="003C135F" w:rsidRPr="00A245DA" w:rsidRDefault="003C135F" w:rsidP="003C135F">
      <w:pPr>
        <w:pStyle w:val="NoSpacing"/>
        <w:jc w:val="both"/>
        <w:rPr>
          <w:rFonts w:ascii="Times New Roman" w:hAnsi="Times New Roman" w:cs="Times New Roman"/>
          <w:lang w:eastAsia="et-EE"/>
        </w:rPr>
      </w:pPr>
      <w:r w:rsidRPr="00A245DA">
        <w:rPr>
          <w:rFonts w:ascii="Times New Roman" w:hAnsi="Times New Roman" w:cs="Times New Roman"/>
          <w:u w:val="single"/>
          <w:lang w:eastAsia="et-EE"/>
        </w:rPr>
        <w:t>Lõige 1</w:t>
      </w:r>
      <w:r w:rsidRPr="00A245DA">
        <w:rPr>
          <w:rFonts w:ascii="Times New Roman" w:hAnsi="Times New Roman" w:cs="Times New Roman"/>
          <w:lang w:eastAsia="et-EE"/>
        </w:rPr>
        <w:t xml:space="preserve"> sätestab, et hindamine viia</w:t>
      </w:r>
      <w:r w:rsidR="00863332" w:rsidRPr="00A245DA">
        <w:rPr>
          <w:rFonts w:ascii="Times New Roman" w:hAnsi="Times New Roman" w:cs="Times New Roman"/>
          <w:lang w:eastAsia="et-EE"/>
        </w:rPr>
        <w:t>k</w:t>
      </w:r>
      <w:r w:rsidRPr="00A245DA">
        <w:rPr>
          <w:rFonts w:ascii="Times New Roman" w:hAnsi="Times New Roman" w:cs="Times New Roman"/>
          <w:lang w:eastAsia="et-EE"/>
        </w:rPr>
        <w:t>se läbi vastavalt hindamisjuhendile, mis avalikustatakse hiljemalt ettepanekute kogumise väljakuulutamisel. Hindamisjuhendi koostab rakendusüksus, kooskõlastades selle rakendusasutusega.</w:t>
      </w:r>
    </w:p>
    <w:p w14:paraId="31E53A8B" w14:textId="3E7B9877" w:rsidR="003C135F" w:rsidRPr="00A245DA" w:rsidRDefault="003C135F" w:rsidP="003C135F">
      <w:pPr>
        <w:pStyle w:val="NoSpacing"/>
        <w:jc w:val="both"/>
        <w:rPr>
          <w:rFonts w:ascii="Times New Roman" w:hAnsi="Times New Roman" w:cs="Times New Roman"/>
          <w:lang w:eastAsia="et-EE"/>
        </w:rPr>
      </w:pPr>
      <w:r w:rsidRPr="00A245DA">
        <w:rPr>
          <w:rFonts w:ascii="Times New Roman" w:hAnsi="Times New Roman" w:cs="Times New Roman"/>
          <w:u w:val="single"/>
          <w:lang w:eastAsia="et-EE"/>
        </w:rPr>
        <w:t>Lõigetes 2-4</w:t>
      </w:r>
      <w:r w:rsidRPr="00A245DA">
        <w:rPr>
          <w:rFonts w:ascii="Times New Roman" w:hAnsi="Times New Roman" w:cs="Times New Roman"/>
          <w:lang w:eastAsia="et-EE"/>
        </w:rPr>
        <w:t xml:space="preserve"> täpsustatakse, milliseid toetatavaid tegevusi milliste hindamiskriteeriumite alusel hinnatakse. </w:t>
      </w:r>
      <w:r w:rsidR="009144DE" w:rsidRPr="00A245DA">
        <w:rPr>
          <w:rFonts w:ascii="Times New Roman" w:hAnsi="Times New Roman" w:cs="Times New Roman"/>
          <w:lang w:eastAsia="et-EE"/>
        </w:rPr>
        <w:t>E</w:t>
      </w:r>
      <w:r w:rsidRPr="00A245DA">
        <w:rPr>
          <w:rFonts w:ascii="Times New Roman" w:hAnsi="Times New Roman" w:cs="Times New Roman"/>
          <w:lang w:eastAsia="et-EE"/>
        </w:rPr>
        <w:t xml:space="preserve">ttepanekud võivad koosneda kahest osast: hoonete rajamist ja teisi kavandatavaid tegevusi (sisutegevusi) puudutav osa esitatakse sel juhul ühes ettepanekus, kuid </w:t>
      </w:r>
      <w:r w:rsidR="005636F3" w:rsidRPr="00A245DA">
        <w:rPr>
          <w:rFonts w:ascii="Times New Roman" w:hAnsi="Times New Roman" w:cs="Times New Roman"/>
          <w:lang w:eastAsia="et-EE"/>
        </w:rPr>
        <w:t xml:space="preserve">tegevuste lõikes </w:t>
      </w:r>
      <w:r w:rsidRPr="00A245DA">
        <w:rPr>
          <w:rFonts w:ascii="Times New Roman" w:hAnsi="Times New Roman" w:cs="Times New Roman"/>
          <w:lang w:eastAsia="et-EE"/>
        </w:rPr>
        <w:t>eristatult</w:t>
      </w:r>
      <w:r w:rsidR="005636F3" w:rsidRPr="00A245DA">
        <w:rPr>
          <w:rFonts w:ascii="Times New Roman" w:hAnsi="Times New Roman" w:cs="Times New Roman"/>
          <w:lang w:eastAsia="et-EE"/>
        </w:rPr>
        <w:t>.</w:t>
      </w:r>
      <w:r w:rsidRPr="00A245DA">
        <w:rPr>
          <w:rFonts w:ascii="Times New Roman" w:hAnsi="Times New Roman" w:cs="Times New Roman"/>
          <w:lang w:eastAsia="et-EE"/>
        </w:rPr>
        <w:t xml:space="preserve"> </w:t>
      </w:r>
      <w:r w:rsidRPr="00A245DA">
        <w:rPr>
          <w:rFonts w:ascii="Times New Roman" w:hAnsi="Times New Roman" w:cs="Times New Roman"/>
          <w:u w:val="single"/>
          <w:lang w:eastAsia="et-EE"/>
        </w:rPr>
        <w:t>Hoonete ja sisutegevuse osa hinnatakse eraldi</w:t>
      </w:r>
      <w:r w:rsidRPr="00A245DA">
        <w:rPr>
          <w:rFonts w:ascii="Times New Roman" w:hAnsi="Times New Roman" w:cs="Times New Roman"/>
          <w:lang w:eastAsia="et-EE"/>
        </w:rPr>
        <w:t xml:space="preserve">, et oleks võimalik arvestada </w:t>
      </w:r>
      <w:r w:rsidR="00863332" w:rsidRPr="00A245DA">
        <w:rPr>
          <w:rFonts w:ascii="Times New Roman" w:hAnsi="Times New Roman" w:cs="Times New Roman"/>
          <w:lang w:eastAsia="et-EE"/>
        </w:rPr>
        <w:t>tegevuste</w:t>
      </w:r>
      <w:r w:rsidRPr="00A245DA">
        <w:rPr>
          <w:rFonts w:ascii="Times New Roman" w:hAnsi="Times New Roman" w:cs="Times New Roman"/>
          <w:lang w:eastAsia="et-EE"/>
        </w:rPr>
        <w:t xml:space="preserve"> eripära. </w:t>
      </w:r>
    </w:p>
    <w:p w14:paraId="4203ADC1" w14:textId="77777777" w:rsidR="003C135F" w:rsidRPr="00A245DA" w:rsidRDefault="003C135F" w:rsidP="003C135F">
      <w:pPr>
        <w:pStyle w:val="NoSpacing"/>
        <w:jc w:val="both"/>
        <w:rPr>
          <w:rFonts w:ascii="Times New Roman" w:hAnsi="Times New Roman" w:cs="Times New Roman"/>
          <w:lang w:eastAsia="et-EE"/>
        </w:rPr>
      </w:pPr>
    </w:p>
    <w:p w14:paraId="5AE2D11A" w14:textId="4BF1016B" w:rsidR="00D2527E" w:rsidRPr="00A245DA" w:rsidRDefault="003C135F" w:rsidP="003C135F">
      <w:pPr>
        <w:pStyle w:val="NoSpacing"/>
        <w:jc w:val="both"/>
        <w:rPr>
          <w:rFonts w:ascii="Times New Roman" w:hAnsi="Times New Roman" w:cs="Times New Roman"/>
          <w:lang w:eastAsia="et-EE"/>
        </w:rPr>
      </w:pPr>
      <w:r w:rsidRPr="00A245DA">
        <w:rPr>
          <w:rFonts w:ascii="Times New Roman" w:hAnsi="Times New Roman" w:cs="Times New Roman"/>
          <w:lang w:eastAsia="et-EE"/>
        </w:rPr>
        <w:t xml:space="preserve">Kui ettepanek sisaldab toetuse taotlust </w:t>
      </w:r>
      <w:r w:rsidRPr="00A245DA">
        <w:rPr>
          <w:rFonts w:ascii="Times New Roman" w:hAnsi="Times New Roman" w:cs="Times New Roman"/>
          <w:u w:val="single"/>
        </w:rPr>
        <w:t>teadus- ja õppehoonete</w:t>
      </w:r>
      <w:r w:rsidRPr="00A245DA">
        <w:rPr>
          <w:rFonts w:ascii="Times New Roman" w:eastAsia="Times New Roman" w:hAnsi="Times New Roman" w:cs="Times New Roman"/>
          <w:bCs/>
          <w:u w:val="single"/>
          <w:lang w:eastAsia="et-EE"/>
        </w:rPr>
        <w:t xml:space="preserve"> </w:t>
      </w:r>
      <w:r w:rsidR="00A647A3" w:rsidRPr="00A245DA">
        <w:rPr>
          <w:rFonts w:ascii="Times New Roman" w:eastAsia="Times New Roman" w:hAnsi="Times New Roman" w:cs="Times New Roman"/>
          <w:bCs/>
          <w:u w:val="single"/>
          <w:lang w:eastAsia="et-EE"/>
        </w:rPr>
        <w:t>rajamiseks</w:t>
      </w:r>
      <w:r w:rsidRPr="00A245DA">
        <w:rPr>
          <w:rFonts w:ascii="Times New Roman" w:eastAsia="Times New Roman" w:hAnsi="Times New Roman" w:cs="Times New Roman"/>
          <w:bCs/>
          <w:lang w:eastAsia="et-EE"/>
        </w:rPr>
        <w:t>,</w:t>
      </w:r>
      <w:r w:rsidRPr="00A245DA">
        <w:rPr>
          <w:rFonts w:ascii="Times New Roman" w:hAnsi="Times New Roman" w:cs="Times New Roman"/>
          <w:lang w:eastAsia="et-EE"/>
        </w:rPr>
        <w:t xml:space="preserve"> hinnatakse seda osa nelja hindamiskriteeriumi alusel. Kui ettepanek sisaldab toetuse taotlust </w:t>
      </w:r>
      <w:r w:rsidRPr="00A245DA">
        <w:rPr>
          <w:rFonts w:ascii="Times New Roman" w:hAnsi="Times New Roman" w:cs="Times New Roman"/>
          <w:u w:val="single"/>
          <w:lang w:eastAsia="et-EE"/>
        </w:rPr>
        <w:t>sisutegevuste</w:t>
      </w:r>
      <w:r w:rsidRPr="00A245DA">
        <w:rPr>
          <w:rFonts w:ascii="Times New Roman" w:hAnsi="Times New Roman" w:cs="Times New Roman"/>
          <w:lang w:eastAsia="et-EE"/>
        </w:rPr>
        <w:t xml:space="preserve"> </w:t>
      </w:r>
      <w:r w:rsidRPr="00A245DA">
        <w:rPr>
          <w:rFonts w:ascii="Times New Roman" w:eastAsia="Times New Roman" w:hAnsi="Times New Roman" w:cs="Times New Roman"/>
          <w:bCs/>
          <w:lang w:eastAsia="et-EE"/>
        </w:rPr>
        <w:t>jaoks,</w:t>
      </w:r>
      <w:r w:rsidRPr="00A245DA">
        <w:rPr>
          <w:rFonts w:ascii="Times New Roman" w:hAnsi="Times New Roman" w:cs="Times New Roman"/>
          <w:lang w:eastAsia="et-EE"/>
        </w:rPr>
        <w:t xml:space="preserve"> hinnatakse seda osa viie hindamiskriteeriumi alusel. Olulisimad on tegevuse mõju, põhjendatuse ja vastutusvaldkondade arendamisse, nutika spetsialiseerumise tugevdamisse ja ühiskonna teenimise võimekuse kasvu panustamise kriteeriumid, millele on seatud suurim osakaal. Kriteeriumite sisu on üldjoontes sarnane, kuid mõningate eranditega arvestab hoonete ja sisutegevuste eripärasid (nt hoonete puhul olulised hoone kasutamisega seotud näitajad). Sisutegevuste puhul on lisatud viies kriteerium, et arvestada ASTRA toetuse andmise fookusi</w:t>
      </w:r>
      <w:r w:rsidR="009449F1" w:rsidRPr="00A245DA">
        <w:rPr>
          <w:rFonts w:ascii="Times New Roman" w:hAnsi="Times New Roman" w:cs="Times New Roman"/>
          <w:lang w:eastAsia="et-EE"/>
        </w:rPr>
        <w:t>, seejuures anda hindamisprotsessi käigus eelistus ettepanekutele, mis hõlmavad ettevõt</w:t>
      </w:r>
      <w:r w:rsidR="009144DE" w:rsidRPr="00A245DA">
        <w:rPr>
          <w:rFonts w:ascii="Times New Roman" w:hAnsi="Times New Roman" w:cs="Times New Roman"/>
          <w:lang w:eastAsia="et-EE"/>
        </w:rPr>
        <w:t>etega koostöö arendamist</w:t>
      </w:r>
      <w:r w:rsidRPr="00A245DA">
        <w:rPr>
          <w:rFonts w:ascii="Times New Roman" w:hAnsi="Times New Roman" w:cs="Times New Roman"/>
          <w:lang w:eastAsia="et-EE"/>
        </w:rPr>
        <w:t xml:space="preserve">. </w:t>
      </w:r>
    </w:p>
    <w:p w14:paraId="300C0E9A" w14:textId="77777777" w:rsidR="00D2527E" w:rsidRPr="00A245DA" w:rsidRDefault="00D2527E" w:rsidP="003C135F">
      <w:pPr>
        <w:pStyle w:val="NoSpacing"/>
        <w:jc w:val="both"/>
        <w:rPr>
          <w:rFonts w:ascii="Times New Roman" w:hAnsi="Times New Roman" w:cs="Times New Roman"/>
          <w:lang w:eastAsia="et-EE"/>
        </w:rPr>
      </w:pPr>
    </w:p>
    <w:p w14:paraId="4595C9F1" w14:textId="1E710143" w:rsidR="00615C7D" w:rsidRPr="00A245DA" w:rsidRDefault="003C135F" w:rsidP="003C135F">
      <w:pPr>
        <w:pStyle w:val="NoSpacing"/>
        <w:jc w:val="both"/>
        <w:rPr>
          <w:rFonts w:ascii="Times New Roman" w:hAnsi="Times New Roman" w:cs="Times New Roman"/>
          <w:lang w:eastAsia="et-EE"/>
        </w:rPr>
      </w:pPr>
      <w:r w:rsidRPr="00A245DA">
        <w:rPr>
          <w:rFonts w:ascii="Times New Roman" w:hAnsi="Times New Roman" w:cs="Times New Roman"/>
          <w:lang w:eastAsia="et-EE"/>
        </w:rPr>
        <w:t xml:space="preserve">Hindamiskriteeriumid on kooskõlas seirekomisjoni poolt kinnitatud kohustuslike kriteeriumitega: </w:t>
      </w:r>
    </w:p>
    <w:p w14:paraId="06817F9A" w14:textId="77777777" w:rsidR="00C6282F" w:rsidRPr="00A245DA" w:rsidRDefault="00C6282F" w:rsidP="003C135F">
      <w:pPr>
        <w:pStyle w:val="NoSpacing"/>
        <w:jc w:val="both"/>
        <w:rPr>
          <w:rFonts w:ascii="Times New Roman" w:hAnsi="Times New Roman" w:cs="Times New Roman"/>
          <w:color w:val="0070C0"/>
          <w:lang w:eastAsia="et-EE"/>
        </w:rPr>
      </w:pPr>
    </w:p>
    <w:tbl>
      <w:tblPr>
        <w:tblStyle w:val="TableGrid"/>
        <w:tblW w:w="9351" w:type="dxa"/>
        <w:tblLook w:val="04A0" w:firstRow="1" w:lastRow="0" w:firstColumn="1" w:lastColumn="0" w:noHBand="0" w:noVBand="1"/>
      </w:tblPr>
      <w:tblGrid>
        <w:gridCol w:w="1475"/>
        <w:gridCol w:w="2508"/>
        <w:gridCol w:w="2954"/>
        <w:gridCol w:w="2414"/>
      </w:tblGrid>
      <w:tr w:rsidR="003C135F" w:rsidRPr="00A245DA" w14:paraId="180B1023" w14:textId="77777777" w:rsidTr="00C936C2">
        <w:tc>
          <w:tcPr>
            <w:tcW w:w="1439" w:type="dxa"/>
          </w:tcPr>
          <w:p w14:paraId="29775BE7" w14:textId="77777777" w:rsidR="003C135F" w:rsidRPr="00A245DA" w:rsidRDefault="003C135F" w:rsidP="00C94BE9">
            <w:pPr>
              <w:pStyle w:val="NoSpacing"/>
              <w:jc w:val="center"/>
              <w:rPr>
                <w:rFonts w:ascii="Times New Roman" w:hAnsi="Times New Roman" w:cs="Times New Roman"/>
                <w:b/>
                <w:lang w:eastAsia="et-EE"/>
              </w:rPr>
            </w:pPr>
            <w:r w:rsidRPr="00A245DA">
              <w:rPr>
                <w:rFonts w:ascii="Times New Roman" w:hAnsi="Times New Roman" w:cs="Times New Roman"/>
                <w:b/>
                <w:lang w:eastAsia="et-EE"/>
              </w:rPr>
              <w:t>Tegevus</w:t>
            </w:r>
          </w:p>
        </w:tc>
        <w:tc>
          <w:tcPr>
            <w:tcW w:w="2525" w:type="dxa"/>
          </w:tcPr>
          <w:p w14:paraId="630D6A35" w14:textId="77777777" w:rsidR="003C135F" w:rsidRPr="00A245DA" w:rsidRDefault="003C135F" w:rsidP="00C94BE9">
            <w:pPr>
              <w:pStyle w:val="NoSpacing"/>
              <w:jc w:val="center"/>
              <w:rPr>
                <w:rFonts w:ascii="Times New Roman" w:hAnsi="Times New Roman" w:cs="Times New Roman"/>
                <w:b/>
                <w:lang w:eastAsia="et-EE"/>
              </w:rPr>
            </w:pPr>
            <w:r w:rsidRPr="00A245DA">
              <w:rPr>
                <w:rFonts w:ascii="Times New Roman" w:hAnsi="Times New Roman" w:cs="Times New Roman"/>
                <w:b/>
                <w:lang w:eastAsia="et-EE"/>
              </w:rPr>
              <w:t>Hindamiskriteerium</w:t>
            </w:r>
          </w:p>
        </w:tc>
        <w:tc>
          <w:tcPr>
            <w:tcW w:w="2935" w:type="dxa"/>
          </w:tcPr>
          <w:p w14:paraId="14B0636D" w14:textId="77777777" w:rsidR="003C135F" w:rsidRPr="00A245DA" w:rsidRDefault="003C135F" w:rsidP="00C94BE9">
            <w:pPr>
              <w:pStyle w:val="NoSpacing"/>
              <w:jc w:val="center"/>
              <w:rPr>
                <w:rFonts w:ascii="Times New Roman" w:hAnsi="Times New Roman" w:cs="Times New Roman"/>
                <w:b/>
                <w:lang w:eastAsia="et-EE"/>
              </w:rPr>
            </w:pPr>
            <w:r w:rsidRPr="00A245DA">
              <w:rPr>
                <w:rFonts w:ascii="Times New Roman" w:hAnsi="Times New Roman" w:cs="Times New Roman"/>
                <w:b/>
                <w:lang w:eastAsia="et-EE"/>
              </w:rPr>
              <w:t>Sisu lühikirjeldus</w:t>
            </w:r>
          </w:p>
        </w:tc>
        <w:tc>
          <w:tcPr>
            <w:tcW w:w="2452" w:type="dxa"/>
          </w:tcPr>
          <w:p w14:paraId="4DE2FCDA" w14:textId="77777777" w:rsidR="003C135F" w:rsidRPr="00A245DA" w:rsidRDefault="003C135F" w:rsidP="00C94BE9">
            <w:pPr>
              <w:pStyle w:val="NoSpacing"/>
              <w:jc w:val="center"/>
              <w:rPr>
                <w:rFonts w:ascii="Times New Roman" w:hAnsi="Times New Roman" w:cs="Times New Roman"/>
                <w:b/>
                <w:lang w:eastAsia="et-EE"/>
              </w:rPr>
            </w:pPr>
            <w:r w:rsidRPr="00A245DA">
              <w:rPr>
                <w:rFonts w:ascii="Times New Roman" w:hAnsi="Times New Roman" w:cs="Times New Roman"/>
                <w:b/>
                <w:lang w:eastAsia="et-EE"/>
              </w:rPr>
              <w:t>Vastavus seirekomisjoni kriteeriumile</w:t>
            </w:r>
          </w:p>
        </w:tc>
      </w:tr>
      <w:tr w:rsidR="003C135F" w:rsidRPr="00A245DA" w14:paraId="347F1670" w14:textId="77777777" w:rsidTr="00C936C2">
        <w:tc>
          <w:tcPr>
            <w:tcW w:w="1439" w:type="dxa"/>
          </w:tcPr>
          <w:p w14:paraId="7B76D97D" w14:textId="77777777" w:rsidR="003C135F" w:rsidRPr="00A245DA" w:rsidRDefault="003C135F" w:rsidP="00C936C2">
            <w:pPr>
              <w:pStyle w:val="NoSpacing"/>
              <w:jc w:val="both"/>
              <w:rPr>
                <w:rFonts w:ascii="Times New Roman" w:hAnsi="Times New Roman" w:cs="Times New Roman"/>
              </w:rPr>
            </w:pPr>
            <w:r w:rsidRPr="00A245DA">
              <w:rPr>
                <w:rFonts w:ascii="Times New Roman" w:hAnsi="Times New Roman" w:cs="Times New Roman"/>
              </w:rPr>
              <w:t>Hooned</w:t>
            </w:r>
          </w:p>
          <w:p w14:paraId="19829B41" w14:textId="77777777" w:rsidR="003C135F" w:rsidRPr="00A245DA" w:rsidRDefault="003C135F" w:rsidP="00C936C2">
            <w:pPr>
              <w:pStyle w:val="NoSpacing"/>
              <w:jc w:val="both"/>
              <w:rPr>
                <w:rFonts w:ascii="Times New Roman" w:hAnsi="Times New Roman" w:cs="Times New Roman"/>
              </w:rPr>
            </w:pPr>
            <w:r w:rsidRPr="00A245DA">
              <w:rPr>
                <w:rFonts w:ascii="Times New Roman" w:hAnsi="Times New Roman" w:cs="Times New Roman"/>
              </w:rPr>
              <w:t>Sisutegevused</w:t>
            </w:r>
          </w:p>
        </w:tc>
        <w:tc>
          <w:tcPr>
            <w:tcW w:w="2525" w:type="dxa"/>
          </w:tcPr>
          <w:p w14:paraId="321B932E" w14:textId="6EADD42C" w:rsidR="00332DEC" w:rsidRPr="00A245DA" w:rsidRDefault="003C135F" w:rsidP="00C94BE9">
            <w:pPr>
              <w:pStyle w:val="NoSpacing"/>
              <w:rPr>
                <w:rFonts w:ascii="Times New Roman" w:hAnsi="Times New Roman" w:cs="Times New Roman"/>
              </w:rPr>
            </w:pPr>
            <w:r w:rsidRPr="00A245DA">
              <w:rPr>
                <w:rFonts w:ascii="Times New Roman" w:hAnsi="Times New Roman" w:cs="Times New Roman"/>
              </w:rPr>
              <w:t>1</w:t>
            </w:r>
            <w:r w:rsidR="00332DEC" w:rsidRPr="00A245DA">
              <w:rPr>
                <w:rFonts w:ascii="Times New Roman" w:hAnsi="Times New Roman" w:cs="Times New Roman"/>
              </w:rPr>
              <w:t>a</w:t>
            </w:r>
            <w:r w:rsidRPr="00A245DA">
              <w:rPr>
                <w:rFonts w:ascii="Times New Roman" w:hAnsi="Times New Roman" w:cs="Times New Roman"/>
              </w:rPr>
              <w:t xml:space="preserve">) tegevuse </w:t>
            </w:r>
            <w:r w:rsidR="0091063C" w:rsidRPr="00A245DA">
              <w:rPr>
                <w:rFonts w:ascii="Times New Roman" w:hAnsi="Times New Roman" w:cs="Times New Roman"/>
              </w:rPr>
              <w:t xml:space="preserve">eeldatav </w:t>
            </w:r>
            <w:r w:rsidRPr="00A245DA">
              <w:rPr>
                <w:rFonts w:ascii="Times New Roman" w:hAnsi="Times New Roman" w:cs="Times New Roman"/>
              </w:rPr>
              <w:t>mõju ASTRA eesmärkide saavutamisele</w:t>
            </w:r>
            <w:r w:rsidR="00332DEC" w:rsidRPr="00A245DA">
              <w:rPr>
                <w:rFonts w:ascii="Times New Roman" w:hAnsi="Times New Roman" w:cs="Times New Roman"/>
              </w:rPr>
              <w:t>;</w:t>
            </w:r>
          </w:p>
          <w:p w14:paraId="428AD66B" w14:textId="2871D86C" w:rsidR="003C135F" w:rsidRPr="00A245DA" w:rsidRDefault="00332DEC" w:rsidP="00C94BE9">
            <w:pPr>
              <w:pStyle w:val="NoSpacing"/>
              <w:rPr>
                <w:rFonts w:ascii="Times New Roman" w:hAnsi="Times New Roman" w:cs="Times New Roman"/>
                <w:color w:val="0070C0"/>
                <w:lang w:eastAsia="et-EE"/>
              </w:rPr>
            </w:pPr>
            <w:r w:rsidRPr="00A245DA">
              <w:rPr>
                <w:rFonts w:ascii="Times New Roman" w:hAnsi="Times New Roman" w:cs="Times New Roman"/>
              </w:rPr>
              <w:t xml:space="preserve">1b) tegevuse suunatus riiklike ja asutuse strateegiliste eesmärkide täitmisele, </w:t>
            </w:r>
            <w:r w:rsidR="00AC6213" w:rsidRPr="00A245DA">
              <w:rPr>
                <w:rFonts w:ascii="Times New Roman" w:hAnsi="Times New Roman" w:cs="Times New Roman"/>
              </w:rPr>
              <w:t xml:space="preserve">sh meeste ja naiste võrdõiguslikkuse edendamisele ning säästvale arengule, </w:t>
            </w:r>
            <w:r w:rsidRPr="00A245DA">
              <w:rPr>
                <w:rFonts w:ascii="Times New Roman" w:hAnsi="Times New Roman" w:cs="Times New Roman"/>
              </w:rPr>
              <w:t>kvalitatiivse mõjuga muudatuste saavutamisele ning teadus- ja kõrgharidussüsteemi efektiivsuse kasvule</w:t>
            </w:r>
          </w:p>
        </w:tc>
        <w:tc>
          <w:tcPr>
            <w:tcW w:w="2935" w:type="dxa"/>
          </w:tcPr>
          <w:p w14:paraId="63509D7D" w14:textId="77777777" w:rsidR="003C135F" w:rsidRPr="00A245DA" w:rsidRDefault="003C135F" w:rsidP="00C94BE9">
            <w:pPr>
              <w:pStyle w:val="NoSpacing"/>
              <w:rPr>
                <w:rFonts w:ascii="Times New Roman" w:hAnsi="Times New Roman" w:cs="Times New Roman"/>
              </w:rPr>
            </w:pPr>
            <w:r w:rsidRPr="00A245DA">
              <w:rPr>
                <w:rFonts w:ascii="Times New Roman" w:hAnsi="Times New Roman" w:cs="Times New Roman"/>
              </w:rPr>
              <w:t>sh panustamine riiklikesse ja asutuse strateegiatesse ja arengukavadesse, arenguhüppe toetamisse ja kvalitatiivne mõju asutuse arengule, teadus- ja kõrgharidussüsteemi efektiivsuse kasvu jne</w:t>
            </w:r>
          </w:p>
        </w:tc>
        <w:tc>
          <w:tcPr>
            <w:tcW w:w="2452" w:type="dxa"/>
          </w:tcPr>
          <w:p w14:paraId="26B69D5A" w14:textId="77777777" w:rsidR="003C135F" w:rsidRPr="00A245DA" w:rsidRDefault="003C135F" w:rsidP="00C94BE9">
            <w:pPr>
              <w:pStyle w:val="NoSpacing"/>
              <w:rPr>
                <w:rFonts w:ascii="Times New Roman" w:hAnsi="Times New Roman" w:cs="Times New Roman"/>
                <w:lang w:eastAsia="et-EE"/>
              </w:rPr>
            </w:pPr>
            <w:r w:rsidRPr="00A245DA">
              <w:rPr>
                <w:rFonts w:ascii="Times New Roman" w:hAnsi="Times New Roman" w:cs="Times New Roman"/>
                <w:lang w:eastAsia="et-EE"/>
              </w:rPr>
              <w:t>1. Projekti mõju meetme eesmärkide saavutamisele</w:t>
            </w:r>
          </w:p>
          <w:p w14:paraId="46BF5079" w14:textId="77777777" w:rsidR="003C135F" w:rsidRPr="00A245DA" w:rsidRDefault="003C135F" w:rsidP="00C94BE9">
            <w:pPr>
              <w:pStyle w:val="NoSpacing"/>
              <w:rPr>
                <w:rFonts w:ascii="Times New Roman" w:hAnsi="Times New Roman" w:cs="Times New Roman"/>
                <w:lang w:eastAsia="et-EE"/>
              </w:rPr>
            </w:pPr>
          </w:p>
        </w:tc>
      </w:tr>
      <w:tr w:rsidR="003C135F" w:rsidRPr="00A245DA" w14:paraId="11B20439" w14:textId="77777777" w:rsidTr="00C936C2">
        <w:tc>
          <w:tcPr>
            <w:tcW w:w="1439" w:type="dxa"/>
          </w:tcPr>
          <w:p w14:paraId="0A8C906C" w14:textId="66EA1D4E" w:rsidR="003C135F" w:rsidRPr="00A245DA" w:rsidRDefault="003C135F" w:rsidP="00C936C2">
            <w:pPr>
              <w:pStyle w:val="NoSpacing"/>
              <w:jc w:val="both"/>
              <w:rPr>
                <w:rFonts w:ascii="Times New Roman" w:hAnsi="Times New Roman" w:cs="Times New Roman"/>
              </w:rPr>
            </w:pPr>
            <w:r w:rsidRPr="00A245DA">
              <w:rPr>
                <w:rFonts w:ascii="Times New Roman" w:hAnsi="Times New Roman" w:cs="Times New Roman"/>
              </w:rPr>
              <w:lastRenderedPageBreak/>
              <w:t>Hooned</w:t>
            </w:r>
          </w:p>
          <w:p w14:paraId="4D8D2885" w14:textId="77777777" w:rsidR="003C135F" w:rsidRPr="00A245DA" w:rsidRDefault="003C135F" w:rsidP="00C936C2">
            <w:pPr>
              <w:pStyle w:val="NoSpacing"/>
              <w:jc w:val="both"/>
              <w:rPr>
                <w:rFonts w:ascii="Times New Roman" w:hAnsi="Times New Roman" w:cs="Times New Roman"/>
              </w:rPr>
            </w:pPr>
            <w:r w:rsidRPr="00A245DA">
              <w:rPr>
                <w:rFonts w:ascii="Times New Roman" w:hAnsi="Times New Roman" w:cs="Times New Roman"/>
              </w:rPr>
              <w:t>Sisutegevused</w:t>
            </w:r>
          </w:p>
        </w:tc>
        <w:tc>
          <w:tcPr>
            <w:tcW w:w="2525" w:type="dxa"/>
          </w:tcPr>
          <w:p w14:paraId="38B709A0" w14:textId="136EA2D9" w:rsidR="00AC6213" w:rsidRPr="00A245DA" w:rsidRDefault="00AC6213" w:rsidP="00C94BE9">
            <w:pPr>
              <w:pStyle w:val="NoSpacing"/>
              <w:rPr>
                <w:rFonts w:ascii="Times New Roman" w:hAnsi="Times New Roman" w:cs="Times New Roman"/>
              </w:rPr>
            </w:pPr>
            <w:r w:rsidRPr="00A245DA">
              <w:rPr>
                <w:rFonts w:ascii="Times New Roman" w:hAnsi="Times New Roman" w:cs="Times New Roman"/>
              </w:rPr>
              <w:t>2a) tegevuse põhjendatus, sh probleemipüstituse põhjendatus, tegevuse väljundite ja tulemuse realistlikkus ja optimaalsus;</w:t>
            </w:r>
          </w:p>
          <w:p w14:paraId="3B585361" w14:textId="60F92207" w:rsidR="003C135F" w:rsidRPr="00A245DA" w:rsidRDefault="003C135F" w:rsidP="00C94BE9">
            <w:pPr>
              <w:pStyle w:val="NoSpacing"/>
              <w:rPr>
                <w:rFonts w:ascii="Times New Roman" w:hAnsi="Times New Roman" w:cs="Times New Roman"/>
              </w:rPr>
            </w:pPr>
            <w:r w:rsidRPr="00A245DA">
              <w:rPr>
                <w:rFonts w:ascii="Times New Roman" w:hAnsi="Times New Roman" w:cs="Times New Roman"/>
              </w:rPr>
              <w:t>2</w:t>
            </w:r>
            <w:r w:rsidR="00AC6213" w:rsidRPr="00A245DA">
              <w:rPr>
                <w:rFonts w:ascii="Times New Roman" w:hAnsi="Times New Roman" w:cs="Times New Roman"/>
              </w:rPr>
              <w:t>b</w:t>
            </w:r>
            <w:r w:rsidRPr="00A245DA">
              <w:rPr>
                <w:rFonts w:ascii="Times New Roman" w:hAnsi="Times New Roman" w:cs="Times New Roman"/>
              </w:rPr>
              <w:t>) tegevuse põhjendatus</w:t>
            </w:r>
            <w:r w:rsidR="00AC6213" w:rsidRPr="00A245DA">
              <w:rPr>
                <w:rFonts w:ascii="Times New Roman" w:hAnsi="Times New Roman" w:cs="Times New Roman"/>
              </w:rPr>
              <w:t>, sh probleemipüstituse põhjendatus, toetatavate tegevuste väljundite ja tulemuste realistlikkus.</w:t>
            </w:r>
          </w:p>
        </w:tc>
        <w:tc>
          <w:tcPr>
            <w:tcW w:w="2935" w:type="dxa"/>
          </w:tcPr>
          <w:p w14:paraId="46837AA4" w14:textId="77777777" w:rsidR="003C135F" w:rsidRPr="00A245DA" w:rsidRDefault="003C135F" w:rsidP="00C94BE9">
            <w:pPr>
              <w:pStyle w:val="NoSpacing"/>
              <w:rPr>
                <w:rFonts w:ascii="Times New Roman" w:hAnsi="Times New Roman" w:cs="Times New Roman"/>
                <w:color w:val="FF0000"/>
              </w:rPr>
            </w:pPr>
            <w:r w:rsidRPr="00A245DA">
              <w:rPr>
                <w:rFonts w:ascii="Times New Roman" w:hAnsi="Times New Roman" w:cs="Times New Roman"/>
              </w:rPr>
              <w:t xml:space="preserve">sh investeeringu vajaduse põhjenduse/probleemipüstituse asjakohasus (hoonete puhul koos hoone kasutamisega seotud näitajatega),  tegevusplaani ja ajakava realistlikkus, kavandatavate tegevuste omavaheline seostatus (hoonete puhul seostatus kavandatavate sisutegevustega) jne. </w:t>
            </w:r>
          </w:p>
        </w:tc>
        <w:tc>
          <w:tcPr>
            <w:tcW w:w="2452" w:type="dxa"/>
          </w:tcPr>
          <w:p w14:paraId="3D04CD94" w14:textId="77777777" w:rsidR="003C135F" w:rsidRPr="00A245DA" w:rsidRDefault="003C135F" w:rsidP="00C94BE9">
            <w:pPr>
              <w:pStyle w:val="NoSpacing"/>
              <w:rPr>
                <w:rFonts w:ascii="Times New Roman" w:hAnsi="Times New Roman" w:cs="Times New Roman"/>
                <w:lang w:eastAsia="et-EE"/>
              </w:rPr>
            </w:pPr>
            <w:r w:rsidRPr="00A245DA">
              <w:rPr>
                <w:rFonts w:ascii="Times New Roman" w:hAnsi="Times New Roman" w:cs="Times New Roman"/>
                <w:lang w:eastAsia="et-EE"/>
              </w:rPr>
              <w:t>2. Projekti põhjendatus</w:t>
            </w:r>
          </w:p>
          <w:p w14:paraId="7C4F8519" w14:textId="77777777" w:rsidR="003C135F" w:rsidRPr="00A245DA" w:rsidRDefault="003C135F" w:rsidP="00C94BE9">
            <w:pPr>
              <w:pStyle w:val="NoSpacing"/>
              <w:rPr>
                <w:rFonts w:ascii="Times New Roman" w:hAnsi="Times New Roman" w:cs="Times New Roman"/>
                <w:strike/>
                <w:lang w:eastAsia="et-EE"/>
              </w:rPr>
            </w:pPr>
          </w:p>
        </w:tc>
      </w:tr>
      <w:tr w:rsidR="003C135F" w:rsidRPr="00A245DA" w14:paraId="64BCFC77" w14:textId="77777777" w:rsidTr="00C936C2">
        <w:tc>
          <w:tcPr>
            <w:tcW w:w="1439" w:type="dxa"/>
          </w:tcPr>
          <w:p w14:paraId="7558C729" w14:textId="6F8CE2EA" w:rsidR="003C135F" w:rsidRPr="00A245DA" w:rsidRDefault="003C135F" w:rsidP="00C936C2">
            <w:pPr>
              <w:pStyle w:val="NoSpacing"/>
              <w:jc w:val="both"/>
              <w:rPr>
                <w:rFonts w:ascii="Times New Roman" w:hAnsi="Times New Roman" w:cs="Times New Roman"/>
              </w:rPr>
            </w:pPr>
            <w:r w:rsidRPr="00A245DA">
              <w:rPr>
                <w:rFonts w:ascii="Times New Roman" w:hAnsi="Times New Roman" w:cs="Times New Roman"/>
              </w:rPr>
              <w:t>Hooned</w:t>
            </w:r>
          </w:p>
          <w:p w14:paraId="69DD6288" w14:textId="77777777" w:rsidR="003C135F" w:rsidRPr="00A245DA" w:rsidRDefault="003C135F" w:rsidP="00C936C2">
            <w:pPr>
              <w:pStyle w:val="NoSpacing"/>
              <w:jc w:val="both"/>
              <w:rPr>
                <w:rFonts w:ascii="Times New Roman" w:hAnsi="Times New Roman" w:cs="Times New Roman"/>
              </w:rPr>
            </w:pPr>
            <w:r w:rsidRPr="00A245DA">
              <w:rPr>
                <w:rFonts w:ascii="Times New Roman" w:hAnsi="Times New Roman" w:cs="Times New Roman"/>
              </w:rPr>
              <w:t>Sisutegevused</w:t>
            </w:r>
          </w:p>
        </w:tc>
        <w:tc>
          <w:tcPr>
            <w:tcW w:w="2525" w:type="dxa"/>
          </w:tcPr>
          <w:p w14:paraId="6D19F84F" w14:textId="77777777" w:rsidR="003C135F" w:rsidRPr="00A245DA" w:rsidRDefault="003C135F" w:rsidP="00C94BE9">
            <w:pPr>
              <w:pStyle w:val="NoSpacing"/>
              <w:rPr>
                <w:rFonts w:ascii="Times New Roman" w:hAnsi="Times New Roman" w:cs="Times New Roman"/>
                <w:color w:val="0070C0"/>
                <w:lang w:eastAsia="et-EE"/>
              </w:rPr>
            </w:pPr>
            <w:r w:rsidRPr="00A245DA">
              <w:rPr>
                <w:rFonts w:ascii="Times New Roman" w:hAnsi="Times New Roman" w:cs="Times New Roman"/>
              </w:rPr>
              <w:t>3) tegevuse eelarve realistlikkus ja kuluefektiivsus</w:t>
            </w:r>
          </w:p>
        </w:tc>
        <w:tc>
          <w:tcPr>
            <w:tcW w:w="2935" w:type="dxa"/>
          </w:tcPr>
          <w:p w14:paraId="1857E709" w14:textId="77777777" w:rsidR="003C135F" w:rsidRPr="00A245DA" w:rsidRDefault="003C135F" w:rsidP="00C94BE9">
            <w:pPr>
              <w:pStyle w:val="NoSpacing"/>
              <w:rPr>
                <w:rFonts w:ascii="Times New Roman" w:hAnsi="Times New Roman" w:cs="Times New Roman"/>
              </w:rPr>
            </w:pPr>
            <w:r w:rsidRPr="00A245DA">
              <w:rPr>
                <w:rFonts w:ascii="Times New Roman" w:hAnsi="Times New Roman" w:cs="Times New Roman"/>
              </w:rPr>
              <w:t>sh eelarve põhjendatus, taotleja jätkusuutliku arengu toetamine ja võimekus täiendavate püsikulude katmiseks jne</w:t>
            </w:r>
          </w:p>
        </w:tc>
        <w:tc>
          <w:tcPr>
            <w:tcW w:w="2452" w:type="dxa"/>
          </w:tcPr>
          <w:p w14:paraId="7F471351" w14:textId="77777777" w:rsidR="003C135F" w:rsidRPr="00A245DA" w:rsidRDefault="003C135F" w:rsidP="00C94BE9">
            <w:pPr>
              <w:pStyle w:val="NoSpacing"/>
              <w:rPr>
                <w:rFonts w:ascii="Times New Roman" w:hAnsi="Times New Roman" w:cs="Times New Roman"/>
                <w:lang w:eastAsia="et-EE"/>
              </w:rPr>
            </w:pPr>
            <w:r w:rsidRPr="00A245DA">
              <w:rPr>
                <w:rFonts w:ascii="Times New Roman" w:hAnsi="Times New Roman" w:cs="Times New Roman"/>
                <w:lang w:eastAsia="et-EE"/>
              </w:rPr>
              <w:t>3. Projekti eelarve realistlikkus ja kuluefektiivsus</w:t>
            </w:r>
          </w:p>
        </w:tc>
      </w:tr>
      <w:tr w:rsidR="003C135F" w:rsidRPr="00A245DA" w14:paraId="1F0B8A97" w14:textId="77777777" w:rsidTr="00C936C2">
        <w:tc>
          <w:tcPr>
            <w:tcW w:w="1439" w:type="dxa"/>
          </w:tcPr>
          <w:p w14:paraId="412E4CC1" w14:textId="77777777" w:rsidR="003C135F" w:rsidRPr="00A245DA" w:rsidRDefault="003C135F" w:rsidP="00C936C2">
            <w:pPr>
              <w:pStyle w:val="NoSpacing"/>
              <w:jc w:val="both"/>
              <w:rPr>
                <w:rFonts w:ascii="Times New Roman" w:hAnsi="Times New Roman" w:cs="Times New Roman"/>
              </w:rPr>
            </w:pPr>
            <w:r w:rsidRPr="00A245DA">
              <w:rPr>
                <w:rFonts w:ascii="Times New Roman" w:hAnsi="Times New Roman" w:cs="Times New Roman"/>
              </w:rPr>
              <w:t>Hooned</w:t>
            </w:r>
          </w:p>
          <w:p w14:paraId="284354B1" w14:textId="58A3E829" w:rsidR="003C135F" w:rsidRPr="00A245DA" w:rsidRDefault="003C135F" w:rsidP="00AC6213">
            <w:pPr>
              <w:pStyle w:val="NoSpacing"/>
              <w:jc w:val="both"/>
              <w:rPr>
                <w:rFonts w:ascii="Times New Roman" w:hAnsi="Times New Roman" w:cs="Times New Roman"/>
              </w:rPr>
            </w:pPr>
            <w:r w:rsidRPr="00A245DA">
              <w:rPr>
                <w:rFonts w:ascii="Times New Roman" w:hAnsi="Times New Roman" w:cs="Times New Roman"/>
              </w:rPr>
              <w:t>Sisutegevused</w:t>
            </w:r>
          </w:p>
        </w:tc>
        <w:tc>
          <w:tcPr>
            <w:tcW w:w="2525" w:type="dxa"/>
          </w:tcPr>
          <w:p w14:paraId="3A14D634" w14:textId="718EEC4A" w:rsidR="003C135F" w:rsidRPr="00A245DA" w:rsidRDefault="003C135F" w:rsidP="00B90062">
            <w:pPr>
              <w:pStyle w:val="NoSpacing"/>
              <w:rPr>
                <w:rFonts w:ascii="Times New Roman" w:hAnsi="Times New Roman" w:cs="Times New Roman"/>
                <w:color w:val="0070C0"/>
                <w:lang w:eastAsia="et-EE"/>
              </w:rPr>
            </w:pPr>
            <w:r w:rsidRPr="00A245DA">
              <w:rPr>
                <w:rFonts w:ascii="Times New Roman" w:hAnsi="Times New Roman" w:cs="Times New Roman"/>
              </w:rPr>
              <w:t>4) tegevuse teostatavus ja ettepaneku esitaja suutlikkus projekti ellu viia</w:t>
            </w:r>
          </w:p>
        </w:tc>
        <w:tc>
          <w:tcPr>
            <w:tcW w:w="2935" w:type="dxa"/>
          </w:tcPr>
          <w:p w14:paraId="4C6A62CE" w14:textId="77777777" w:rsidR="003C135F" w:rsidRPr="00A245DA" w:rsidRDefault="003C135F" w:rsidP="00C94BE9">
            <w:pPr>
              <w:pStyle w:val="NoSpacing"/>
              <w:rPr>
                <w:rFonts w:ascii="Times New Roman" w:hAnsi="Times New Roman" w:cs="Times New Roman"/>
                <w:color w:val="0070C0"/>
                <w:lang w:eastAsia="et-EE"/>
              </w:rPr>
            </w:pPr>
            <w:r w:rsidRPr="00A245DA">
              <w:rPr>
                <w:rFonts w:ascii="Times New Roman" w:hAnsi="Times New Roman" w:cs="Times New Roman"/>
              </w:rPr>
              <w:t>sh projekti elluviimiseks vajalik kompetents ja kogemus, koostöö, juhtimise ja tegevuse korralduslik tase, finants- ja administratiivne võimekus jne</w:t>
            </w:r>
          </w:p>
        </w:tc>
        <w:tc>
          <w:tcPr>
            <w:tcW w:w="2452" w:type="dxa"/>
          </w:tcPr>
          <w:p w14:paraId="285D517A" w14:textId="77777777" w:rsidR="003C135F" w:rsidRPr="00A245DA" w:rsidRDefault="003C135F" w:rsidP="00C94BE9">
            <w:pPr>
              <w:pStyle w:val="NoSpacing"/>
              <w:rPr>
                <w:rFonts w:ascii="Times New Roman" w:hAnsi="Times New Roman" w:cs="Times New Roman"/>
                <w:lang w:eastAsia="et-EE"/>
              </w:rPr>
            </w:pPr>
            <w:r w:rsidRPr="00A245DA">
              <w:rPr>
                <w:rFonts w:ascii="Times New Roman" w:hAnsi="Times New Roman" w:cs="Times New Roman"/>
                <w:lang w:eastAsia="et-EE"/>
              </w:rPr>
              <w:t>4. Projekti teostatavus ja toetuse taotleja/saaja (ja partnerite) suutlikkus projekti ellu viia</w:t>
            </w:r>
          </w:p>
        </w:tc>
      </w:tr>
      <w:tr w:rsidR="003C135F" w:rsidRPr="00A245DA" w14:paraId="0EB1A8AC" w14:textId="77777777" w:rsidTr="00C936C2">
        <w:tc>
          <w:tcPr>
            <w:tcW w:w="1439" w:type="dxa"/>
          </w:tcPr>
          <w:p w14:paraId="18D09175" w14:textId="77777777" w:rsidR="003C135F" w:rsidRPr="00A245DA" w:rsidRDefault="003C135F" w:rsidP="00C936C2">
            <w:pPr>
              <w:pStyle w:val="NoSpacing"/>
              <w:jc w:val="both"/>
              <w:rPr>
                <w:rFonts w:ascii="Times New Roman" w:hAnsi="Times New Roman" w:cs="Times New Roman"/>
              </w:rPr>
            </w:pPr>
            <w:r w:rsidRPr="00A245DA">
              <w:rPr>
                <w:rFonts w:ascii="Times New Roman" w:hAnsi="Times New Roman" w:cs="Times New Roman"/>
              </w:rPr>
              <w:t>Sisutegevused</w:t>
            </w:r>
          </w:p>
        </w:tc>
        <w:tc>
          <w:tcPr>
            <w:tcW w:w="2525" w:type="dxa"/>
          </w:tcPr>
          <w:p w14:paraId="1468FDBD" w14:textId="7C3B5831" w:rsidR="003C135F" w:rsidRPr="00A245DA" w:rsidRDefault="003C135F" w:rsidP="00C94BE9">
            <w:pPr>
              <w:pStyle w:val="NoSpacing"/>
              <w:rPr>
                <w:rFonts w:ascii="Times New Roman" w:hAnsi="Times New Roman" w:cs="Times New Roman"/>
              </w:rPr>
            </w:pPr>
            <w:r w:rsidRPr="00A245DA">
              <w:rPr>
                <w:rFonts w:ascii="Times New Roman" w:hAnsi="Times New Roman" w:cs="Times New Roman"/>
              </w:rPr>
              <w:t xml:space="preserve">5) </w:t>
            </w:r>
            <w:r w:rsidR="00AC6213" w:rsidRPr="00A245DA">
              <w:rPr>
                <w:rFonts w:ascii="Times New Roman" w:hAnsi="Times New Roman" w:cs="Times New Roman"/>
              </w:rPr>
              <w:t xml:space="preserve">tegevuse </w:t>
            </w:r>
            <w:r w:rsidRPr="00A245DA">
              <w:rPr>
                <w:rFonts w:ascii="Times New Roman" w:hAnsi="Times New Roman" w:cs="Times New Roman"/>
              </w:rPr>
              <w:t>panus vastutusvaldkondade tugevdamisse, nutika spetsialiseerumise kasvuvaldkondade arenguvajaduste täitmisse ning asutuse ühiskonna  ja majanduse huvide teenimise võimekuse kasvatamisse, sh koostöö arendamisse ettevõtetega</w:t>
            </w:r>
          </w:p>
        </w:tc>
        <w:tc>
          <w:tcPr>
            <w:tcW w:w="2935" w:type="dxa"/>
          </w:tcPr>
          <w:p w14:paraId="1ADAF309" w14:textId="0067574D" w:rsidR="003C135F" w:rsidRPr="00A245DA" w:rsidRDefault="003C135F" w:rsidP="00C94BE9">
            <w:pPr>
              <w:autoSpaceDE w:val="0"/>
              <w:autoSpaceDN w:val="0"/>
              <w:adjustRightInd w:val="0"/>
              <w:spacing w:before="0" w:after="0"/>
              <w:jc w:val="left"/>
              <w:rPr>
                <w:rFonts w:ascii="Times New Roman" w:hAnsi="Times New Roman"/>
              </w:rPr>
            </w:pPr>
            <w:r w:rsidRPr="00A245DA">
              <w:rPr>
                <w:rFonts w:ascii="Times New Roman" w:hAnsi="Times New Roman"/>
              </w:rPr>
              <w:t>sh panus asutuse vastutusvaldkondade tugevdamisse, kasvab asutuse võimekus pakkuda ettevõtetele vajalikku sisendit teadmusmahuka ettevõtluse arenguks ja innovatsiooniks, panustamine nutika spetsialiseerumise kasvuvaldkondade arenguvajaduste täitmisse jne</w:t>
            </w:r>
          </w:p>
        </w:tc>
        <w:tc>
          <w:tcPr>
            <w:tcW w:w="2452" w:type="dxa"/>
          </w:tcPr>
          <w:p w14:paraId="7178D3D5" w14:textId="77777777" w:rsidR="00555CC3" w:rsidRPr="00A245DA" w:rsidRDefault="00555CC3" w:rsidP="00C94BE9">
            <w:pPr>
              <w:pStyle w:val="NoSpacing"/>
              <w:rPr>
                <w:rFonts w:ascii="Times New Roman" w:hAnsi="Times New Roman" w:cs="Times New Roman"/>
                <w:lang w:eastAsia="et-EE"/>
              </w:rPr>
            </w:pPr>
            <w:r w:rsidRPr="00A245DA">
              <w:rPr>
                <w:rFonts w:ascii="Times New Roman" w:hAnsi="Times New Roman" w:cs="Times New Roman"/>
                <w:lang w:eastAsia="et-EE"/>
              </w:rPr>
              <w:t>1. Projekti mõju meetme eesmärkide saavutamisele</w:t>
            </w:r>
          </w:p>
          <w:p w14:paraId="5CAA5CA9" w14:textId="77777777" w:rsidR="003C135F" w:rsidRPr="00A245DA" w:rsidRDefault="003C135F" w:rsidP="00C94BE9">
            <w:pPr>
              <w:pStyle w:val="NoSpacing"/>
              <w:rPr>
                <w:rFonts w:ascii="Times New Roman" w:hAnsi="Times New Roman" w:cs="Times New Roman"/>
                <w:lang w:eastAsia="et-EE"/>
              </w:rPr>
            </w:pPr>
          </w:p>
        </w:tc>
      </w:tr>
    </w:tbl>
    <w:p w14:paraId="5E8A5EEC" w14:textId="77777777" w:rsidR="003C135F" w:rsidRPr="00A245DA" w:rsidRDefault="003C135F" w:rsidP="003C135F">
      <w:pPr>
        <w:pStyle w:val="NoSpacing"/>
        <w:jc w:val="both"/>
        <w:rPr>
          <w:rFonts w:ascii="Times New Roman" w:hAnsi="Times New Roman" w:cs="Times New Roman"/>
          <w:color w:val="0070C0"/>
          <w:lang w:eastAsia="et-EE"/>
        </w:rPr>
      </w:pPr>
    </w:p>
    <w:p w14:paraId="15F16C43" w14:textId="72EA59B6" w:rsidR="00693423" w:rsidRPr="00A245DA" w:rsidRDefault="00693423" w:rsidP="003C135F">
      <w:pPr>
        <w:pStyle w:val="NoSpacing"/>
        <w:jc w:val="both"/>
        <w:rPr>
          <w:rFonts w:ascii="Times New Roman" w:eastAsia="Times New Roman,Calibri" w:hAnsi="Times New Roman" w:cs="Times New Roman"/>
          <w:iCs/>
        </w:rPr>
      </w:pPr>
      <w:r w:rsidRPr="00A245DA">
        <w:rPr>
          <w:rFonts w:ascii="Times New Roman" w:hAnsi="Times New Roman" w:cs="Times New Roman"/>
        </w:rPr>
        <w:t>Seirekomisjoni 5. kriteerium „Projekti mõju läbivatele teemadele (regionaalsele arengule, keskkonnahoiule, kodanikuühiskonna arengule, võrdsete võimaluste tagamisele, ühtsele riigivalitsemisele või infoühiskonna edendamisele)“</w:t>
      </w:r>
      <w:r w:rsidRPr="00A245DA">
        <w:rPr>
          <w:rFonts w:ascii="Times New Roman" w:eastAsia="Times New Roman,Calibri" w:hAnsi="Times New Roman" w:cs="Times New Roman"/>
          <w:iCs/>
        </w:rPr>
        <w:t xml:space="preserve"> </w:t>
      </w:r>
      <w:r w:rsidR="00AC6213" w:rsidRPr="00A245DA">
        <w:rPr>
          <w:rFonts w:ascii="Times New Roman" w:eastAsia="Times New Roman,Calibri" w:hAnsi="Times New Roman" w:cs="Times New Roman"/>
          <w:iCs/>
        </w:rPr>
        <w:t xml:space="preserve">on osaliselt integreeritud sisutegevuste puhul 1. kriteeriumi koosseisu hinnates tegevuse suunatust meeste ja naiste võrdõiguslikkuse edendamisele ning säästvale arengule. Teisi läbivaid teemasid </w:t>
      </w:r>
      <w:r w:rsidRPr="00A245DA">
        <w:rPr>
          <w:rFonts w:ascii="Times New Roman" w:eastAsia="Times New Roman,Calibri" w:hAnsi="Times New Roman" w:cs="Times New Roman"/>
          <w:iCs/>
        </w:rPr>
        <w:t>ei ole eraldiseisvalt sisse arvatud, kuna toetuse andmise eesmärk ei ole läbivate teemade mõju tagada ega tugevdada.  Läbivate teemade analüüs sisaldub seletuskirjas eraldiseisvalt ning kajastab võimalikku mõju läbivate teemade puhul, millega on eelnevalt kaardistatud puutumus</w:t>
      </w:r>
      <w:r w:rsidR="003142A2" w:rsidRPr="00A245DA">
        <w:rPr>
          <w:rFonts w:ascii="Times New Roman" w:eastAsia="Times New Roman,Calibri" w:hAnsi="Times New Roman" w:cs="Times New Roman"/>
          <w:iCs/>
        </w:rPr>
        <w:t xml:space="preserve"> (vt IV Määruse mõjud)</w:t>
      </w:r>
      <w:r w:rsidRPr="00A245DA">
        <w:rPr>
          <w:rFonts w:ascii="Times New Roman" w:eastAsia="Times New Roman,Calibri" w:hAnsi="Times New Roman" w:cs="Times New Roman"/>
          <w:iCs/>
        </w:rPr>
        <w:t>.</w:t>
      </w:r>
    </w:p>
    <w:p w14:paraId="5FAF429C" w14:textId="77777777" w:rsidR="00693423" w:rsidRPr="00A245DA" w:rsidRDefault="00693423" w:rsidP="003C135F">
      <w:pPr>
        <w:pStyle w:val="NoSpacing"/>
        <w:jc w:val="both"/>
        <w:rPr>
          <w:rFonts w:ascii="Times New Roman" w:hAnsi="Times New Roman" w:cs="Times New Roman"/>
          <w:u w:val="single"/>
          <w:lang w:eastAsia="et-EE"/>
        </w:rPr>
      </w:pPr>
    </w:p>
    <w:p w14:paraId="7D68697C" w14:textId="58B7CA5F" w:rsidR="003C135F" w:rsidRPr="00A245DA" w:rsidRDefault="003C135F" w:rsidP="003C135F">
      <w:pPr>
        <w:pStyle w:val="NoSpacing"/>
        <w:jc w:val="both"/>
        <w:rPr>
          <w:rFonts w:ascii="Times New Roman" w:hAnsi="Times New Roman" w:cs="Times New Roman"/>
          <w:lang w:eastAsia="et-EE"/>
        </w:rPr>
      </w:pPr>
      <w:r w:rsidRPr="00A245DA">
        <w:rPr>
          <w:rFonts w:ascii="Times New Roman" w:hAnsi="Times New Roman" w:cs="Times New Roman"/>
          <w:u w:val="single"/>
          <w:lang w:eastAsia="et-EE"/>
        </w:rPr>
        <w:t>Lõige 5</w:t>
      </w:r>
      <w:r w:rsidRPr="00A245DA">
        <w:rPr>
          <w:rFonts w:ascii="Times New Roman" w:hAnsi="Times New Roman" w:cs="Times New Roman"/>
          <w:lang w:eastAsia="et-EE"/>
        </w:rPr>
        <w:t xml:space="preserve"> täpsustab hindeskaala ja hinnete sammu. </w:t>
      </w:r>
      <w:r w:rsidR="00B90062" w:rsidRPr="00A245DA">
        <w:rPr>
          <w:rFonts w:ascii="Times New Roman" w:hAnsi="Times New Roman" w:cs="Times New Roman"/>
          <w:lang w:eastAsia="et-EE"/>
        </w:rPr>
        <w:t>E</w:t>
      </w:r>
      <w:r w:rsidRPr="00A245DA">
        <w:rPr>
          <w:rFonts w:ascii="Times New Roman" w:hAnsi="Times New Roman" w:cs="Times New Roman"/>
          <w:lang w:eastAsia="et-EE"/>
        </w:rPr>
        <w:t>ttepanekuid hinnatakse sõltumata tegevustest samal põhimõttel.</w:t>
      </w:r>
    </w:p>
    <w:p w14:paraId="50A82D6E" w14:textId="77777777" w:rsidR="00C6282F" w:rsidRPr="00A245DA" w:rsidRDefault="00C6282F" w:rsidP="003C135F">
      <w:pPr>
        <w:pStyle w:val="NoSpacing"/>
        <w:jc w:val="both"/>
        <w:rPr>
          <w:rFonts w:ascii="Times New Roman" w:hAnsi="Times New Roman" w:cs="Times New Roman"/>
          <w:u w:val="single"/>
          <w:lang w:eastAsia="et-EE"/>
        </w:rPr>
      </w:pPr>
    </w:p>
    <w:p w14:paraId="074450FC" w14:textId="2F26474E" w:rsidR="003C135F" w:rsidRPr="00A245DA" w:rsidRDefault="003C135F" w:rsidP="003C135F">
      <w:pPr>
        <w:pStyle w:val="NoSpacing"/>
        <w:jc w:val="both"/>
        <w:rPr>
          <w:rFonts w:ascii="Times New Roman" w:hAnsi="Times New Roman" w:cs="Times New Roman"/>
          <w:lang w:eastAsia="et-EE"/>
        </w:rPr>
      </w:pPr>
      <w:r w:rsidRPr="00A245DA">
        <w:rPr>
          <w:rFonts w:ascii="Times New Roman" w:hAnsi="Times New Roman" w:cs="Times New Roman"/>
          <w:u w:val="single"/>
          <w:lang w:eastAsia="et-EE"/>
        </w:rPr>
        <w:t>Lõige 6</w:t>
      </w:r>
      <w:r w:rsidRPr="00A245DA">
        <w:rPr>
          <w:rFonts w:ascii="Times New Roman" w:hAnsi="Times New Roman" w:cs="Times New Roman"/>
          <w:lang w:eastAsia="et-EE"/>
        </w:rPr>
        <w:t xml:space="preserve"> sätestab, et hoonete osa hindamisel on lävendid seatud kolmele kriteeriumile, sisutegevuste osa hindamisel kahele kriteeriumile. Lävendiks on mõlemal juhul ja kõikide kriteeriumite puhul </w:t>
      </w:r>
      <w:r w:rsidR="001D2F1F" w:rsidRPr="00A245DA">
        <w:rPr>
          <w:rFonts w:ascii="Times New Roman" w:hAnsi="Times New Roman" w:cs="Times New Roman"/>
          <w:lang w:eastAsia="et-EE"/>
        </w:rPr>
        <w:t xml:space="preserve">keskmine hinne </w:t>
      </w:r>
      <w:r w:rsidR="00F87473" w:rsidRPr="00A245DA">
        <w:rPr>
          <w:rFonts w:ascii="Times New Roman" w:hAnsi="Times New Roman" w:cs="Times New Roman"/>
          <w:lang w:eastAsia="et-EE"/>
        </w:rPr>
        <w:t>3</w:t>
      </w:r>
      <w:r w:rsidRPr="00A245DA">
        <w:rPr>
          <w:rFonts w:ascii="Times New Roman" w:hAnsi="Times New Roman" w:cs="Times New Roman"/>
          <w:lang w:eastAsia="et-EE"/>
        </w:rPr>
        <w:t xml:space="preserve"> punkti, mis tähistab hindamisskaala mõttes keskmist taset.</w:t>
      </w:r>
      <w:r w:rsidR="001D2F1F" w:rsidRPr="00A245DA">
        <w:rPr>
          <w:rFonts w:ascii="Times New Roman" w:hAnsi="Times New Roman" w:cs="Times New Roman"/>
          <w:lang w:eastAsia="et-EE"/>
        </w:rPr>
        <w:t xml:space="preserve"> Iga kriteeriumi keskmine hinne kujuneb erinevate hindajate poolt antud hinnete aritmeetilise keskmisena.</w:t>
      </w:r>
      <w:r w:rsidRPr="00A245DA">
        <w:rPr>
          <w:rFonts w:ascii="Times New Roman" w:hAnsi="Times New Roman" w:cs="Times New Roman"/>
          <w:lang w:eastAsia="et-EE"/>
        </w:rPr>
        <w:t xml:space="preserve"> Lävendid on seatud kriteeriumitele, mille puhul teatud taseme ja tingimuste olemasolu on tegevuste tulemuslikkuse ja teostatavuse osas määrava tähtsusega.</w:t>
      </w:r>
      <w:r w:rsidRPr="00A245DA">
        <w:rPr>
          <w:rFonts w:ascii="Times New Roman" w:hAnsi="Times New Roman" w:cs="Times New Roman"/>
          <w:color w:val="0070C0"/>
          <w:lang w:eastAsia="et-EE"/>
        </w:rPr>
        <w:t xml:space="preserve"> </w:t>
      </w:r>
      <w:r w:rsidR="006425E5" w:rsidRPr="00A245DA">
        <w:rPr>
          <w:rFonts w:ascii="Times New Roman" w:hAnsi="Times New Roman" w:cs="Times New Roman"/>
          <w:lang w:eastAsia="et-EE"/>
        </w:rPr>
        <w:t xml:space="preserve">Tulenevalt alustingimusest, mille järgi investeeringuid teadus- ja õppehoonetesse tehakse seostatuna sisutegevustega (vt määruse § 6 lg 3), siis juhul kui ettepanek sisaldab nii hoonete kui sisutegevuse osa ning hindamise käigus ei ületa sisutegevuste osa seatud lävendeid, ettepanekut tervikuna </w:t>
      </w:r>
      <w:r w:rsidR="001868FF" w:rsidRPr="00A245DA">
        <w:rPr>
          <w:rFonts w:ascii="Times New Roman" w:hAnsi="Times New Roman" w:cs="Times New Roman"/>
          <w:lang w:eastAsia="et-EE"/>
        </w:rPr>
        <w:t xml:space="preserve">investeeringute kavasse </w:t>
      </w:r>
      <w:r w:rsidR="006425E5" w:rsidRPr="00A245DA">
        <w:rPr>
          <w:rFonts w:ascii="Times New Roman" w:hAnsi="Times New Roman" w:cs="Times New Roman"/>
          <w:lang w:eastAsia="et-EE"/>
        </w:rPr>
        <w:t xml:space="preserve">ei </w:t>
      </w:r>
      <w:r w:rsidR="001868FF" w:rsidRPr="00A245DA">
        <w:rPr>
          <w:rFonts w:ascii="Times New Roman" w:hAnsi="Times New Roman" w:cs="Times New Roman"/>
          <w:lang w:eastAsia="et-EE"/>
        </w:rPr>
        <w:t xml:space="preserve">arvata. Kui ettepanek sisaldab nii hooneid kui sisutegevusi ja vaid hoonete osa ei ületa lävendeid, siis </w:t>
      </w:r>
      <w:r w:rsidR="009144DE" w:rsidRPr="00A245DA">
        <w:rPr>
          <w:rFonts w:ascii="Times New Roman" w:hAnsi="Times New Roman" w:cs="Times New Roman"/>
          <w:lang w:eastAsia="et-EE"/>
        </w:rPr>
        <w:t xml:space="preserve">on võimalik vaid </w:t>
      </w:r>
      <w:r w:rsidR="001868FF" w:rsidRPr="00A245DA">
        <w:rPr>
          <w:rFonts w:ascii="Times New Roman" w:hAnsi="Times New Roman" w:cs="Times New Roman"/>
          <w:lang w:eastAsia="et-EE"/>
        </w:rPr>
        <w:t>sisutegevusi hõlmav</w:t>
      </w:r>
      <w:r w:rsidR="009144DE" w:rsidRPr="00A245DA">
        <w:rPr>
          <w:rFonts w:ascii="Times New Roman" w:hAnsi="Times New Roman" w:cs="Times New Roman"/>
          <w:lang w:eastAsia="et-EE"/>
        </w:rPr>
        <w:t>a</w:t>
      </w:r>
      <w:r w:rsidR="001868FF" w:rsidRPr="00A245DA">
        <w:rPr>
          <w:rFonts w:ascii="Times New Roman" w:hAnsi="Times New Roman" w:cs="Times New Roman"/>
          <w:lang w:eastAsia="et-EE"/>
        </w:rPr>
        <w:t xml:space="preserve"> osa</w:t>
      </w:r>
      <w:r w:rsidR="009144DE" w:rsidRPr="00A245DA">
        <w:rPr>
          <w:rFonts w:ascii="Times New Roman" w:hAnsi="Times New Roman" w:cs="Times New Roman"/>
          <w:lang w:eastAsia="et-EE"/>
        </w:rPr>
        <w:t xml:space="preserve"> toetamine</w:t>
      </w:r>
      <w:r w:rsidR="001868FF" w:rsidRPr="00A245DA">
        <w:rPr>
          <w:rFonts w:ascii="Times New Roman" w:hAnsi="Times New Roman" w:cs="Times New Roman"/>
          <w:lang w:eastAsia="et-EE"/>
        </w:rPr>
        <w:t xml:space="preserve">. </w:t>
      </w:r>
    </w:p>
    <w:p w14:paraId="295947BD" w14:textId="77777777" w:rsidR="00C6282F" w:rsidRPr="00A245DA" w:rsidRDefault="00C6282F" w:rsidP="003C135F">
      <w:pPr>
        <w:pStyle w:val="NoSpacing"/>
        <w:jc w:val="both"/>
        <w:rPr>
          <w:rFonts w:ascii="Times New Roman" w:hAnsi="Times New Roman" w:cs="Times New Roman"/>
          <w:u w:val="single"/>
          <w:lang w:eastAsia="et-EE"/>
        </w:rPr>
      </w:pPr>
    </w:p>
    <w:p w14:paraId="503B0645" w14:textId="77777777" w:rsidR="003C135F" w:rsidRPr="00A245DA" w:rsidRDefault="003C135F" w:rsidP="003C135F">
      <w:pPr>
        <w:pStyle w:val="NoSpacing"/>
        <w:jc w:val="both"/>
        <w:rPr>
          <w:rFonts w:ascii="Times New Roman" w:hAnsi="Times New Roman" w:cs="Times New Roman"/>
          <w:lang w:eastAsia="et-EE"/>
        </w:rPr>
      </w:pPr>
      <w:r w:rsidRPr="00A245DA">
        <w:rPr>
          <w:rFonts w:ascii="Times New Roman" w:hAnsi="Times New Roman" w:cs="Times New Roman"/>
          <w:u w:val="single"/>
          <w:lang w:eastAsia="et-EE"/>
        </w:rPr>
        <w:lastRenderedPageBreak/>
        <w:t>Lõige 7</w:t>
      </w:r>
      <w:r w:rsidRPr="00A245DA">
        <w:rPr>
          <w:rFonts w:ascii="Times New Roman" w:hAnsi="Times New Roman" w:cs="Times New Roman"/>
          <w:lang w:eastAsia="et-EE"/>
        </w:rPr>
        <w:t xml:space="preserve"> täpsustab, kuidas arvutatakse kriteeriumitele hindepunktid ja koondhinded. Metoodika kehtib nii hoonete kui sisutegevuste osa hindamisel.</w:t>
      </w:r>
    </w:p>
    <w:p w14:paraId="1AD7F1DB" w14:textId="77777777" w:rsidR="00C6282F" w:rsidRPr="00A245DA" w:rsidRDefault="00C6282F" w:rsidP="003C135F">
      <w:pPr>
        <w:pStyle w:val="NoSpacing"/>
        <w:jc w:val="both"/>
        <w:rPr>
          <w:rFonts w:ascii="Times New Roman" w:hAnsi="Times New Roman" w:cs="Times New Roman"/>
          <w:u w:val="single"/>
          <w:lang w:eastAsia="et-EE"/>
        </w:rPr>
      </w:pPr>
    </w:p>
    <w:p w14:paraId="4D841FE2" w14:textId="546FA099" w:rsidR="003C135F" w:rsidRPr="00A245DA" w:rsidRDefault="0084540E" w:rsidP="003C135F">
      <w:pPr>
        <w:pStyle w:val="NoSpacing"/>
        <w:jc w:val="both"/>
        <w:rPr>
          <w:rFonts w:ascii="Times New Roman" w:hAnsi="Times New Roman" w:cs="Times New Roman"/>
        </w:rPr>
      </w:pPr>
      <w:r w:rsidRPr="00A245DA">
        <w:rPr>
          <w:rFonts w:ascii="Times New Roman" w:hAnsi="Times New Roman" w:cs="Times New Roman"/>
          <w:u w:val="single"/>
          <w:lang w:eastAsia="et-EE"/>
        </w:rPr>
        <w:t xml:space="preserve">Lõikes </w:t>
      </w:r>
      <w:r w:rsidR="00714C97" w:rsidRPr="00A245DA">
        <w:rPr>
          <w:rFonts w:ascii="Times New Roman" w:hAnsi="Times New Roman" w:cs="Times New Roman"/>
          <w:u w:val="single"/>
          <w:lang w:eastAsia="et-EE"/>
        </w:rPr>
        <w:t>8</w:t>
      </w:r>
      <w:r w:rsidRPr="00A245DA">
        <w:rPr>
          <w:rFonts w:ascii="Times New Roman" w:hAnsi="Times New Roman" w:cs="Times New Roman"/>
          <w:lang w:eastAsia="et-EE"/>
        </w:rPr>
        <w:t xml:space="preserve"> on viidatud läbirääkimiste faasile. </w:t>
      </w:r>
      <w:r w:rsidR="00BD2B3E" w:rsidRPr="00A245DA">
        <w:rPr>
          <w:rFonts w:ascii="Times New Roman" w:hAnsi="Times New Roman" w:cs="Times New Roman"/>
          <w:lang w:eastAsia="et-EE"/>
        </w:rPr>
        <w:t xml:space="preserve">Läbirääkimiste faas on protsessi lisatud selleks, et </w:t>
      </w:r>
      <w:r w:rsidR="00BD2B3E" w:rsidRPr="00A245DA">
        <w:rPr>
          <w:rFonts w:ascii="Times New Roman" w:hAnsi="Times New Roman" w:cs="Times New Roman"/>
          <w:u w:val="single"/>
          <w:lang w:eastAsia="et-EE"/>
        </w:rPr>
        <w:t xml:space="preserve">suunata ettepanekuid </w:t>
      </w:r>
      <w:r w:rsidR="004F3A21" w:rsidRPr="00A245DA">
        <w:rPr>
          <w:rFonts w:ascii="Times New Roman" w:hAnsi="Times New Roman" w:cs="Times New Roman"/>
          <w:u w:val="single"/>
          <w:lang w:eastAsia="et-EE"/>
        </w:rPr>
        <w:t>enam ASTRA eesmärke täitvaks</w:t>
      </w:r>
      <w:r w:rsidR="00D07948" w:rsidRPr="00A245DA">
        <w:rPr>
          <w:rFonts w:ascii="Times New Roman" w:hAnsi="Times New Roman" w:cs="Times New Roman"/>
          <w:u w:val="single"/>
          <w:lang w:eastAsia="et-EE"/>
        </w:rPr>
        <w:t xml:space="preserve"> (sh suunata tegema</w:t>
      </w:r>
      <w:r w:rsidR="009144DE" w:rsidRPr="00A245DA">
        <w:rPr>
          <w:rFonts w:ascii="Times New Roman" w:hAnsi="Times New Roman" w:cs="Times New Roman"/>
          <w:u w:val="single"/>
          <w:lang w:eastAsia="et-EE"/>
        </w:rPr>
        <w:t xml:space="preserve"> koostööd</w:t>
      </w:r>
      <w:r w:rsidR="00D07948" w:rsidRPr="00A245DA">
        <w:rPr>
          <w:rFonts w:ascii="Times New Roman" w:hAnsi="Times New Roman" w:cs="Times New Roman"/>
          <w:u w:val="single"/>
          <w:lang w:eastAsia="et-EE"/>
        </w:rPr>
        <w:t xml:space="preserve"> ettevõt</w:t>
      </w:r>
      <w:r w:rsidR="009144DE" w:rsidRPr="00A245DA">
        <w:rPr>
          <w:rFonts w:ascii="Times New Roman" w:hAnsi="Times New Roman" w:cs="Times New Roman"/>
          <w:u w:val="single"/>
          <w:lang w:eastAsia="et-EE"/>
        </w:rPr>
        <w:t>etega</w:t>
      </w:r>
      <w:r w:rsidR="00D07948" w:rsidRPr="00A245DA">
        <w:rPr>
          <w:rFonts w:ascii="Times New Roman" w:hAnsi="Times New Roman" w:cs="Times New Roman"/>
          <w:u w:val="single"/>
          <w:lang w:eastAsia="et-EE"/>
        </w:rPr>
        <w:t>)</w:t>
      </w:r>
      <w:r w:rsidR="00BD2B3E" w:rsidRPr="00A245DA">
        <w:rPr>
          <w:rFonts w:ascii="Times New Roman" w:hAnsi="Times New Roman" w:cs="Times New Roman"/>
          <w:lang w:eastAsia="et-EE"/>
        </w:rPr>
        <w:t>, samas annab see võimaluse läbi rääkida kavandatavate tegevuste mahu ja maksumuse osas.</w:t>
      </w:r>
      <w:r w:rsidR="000D54EE" w:rsidRPr="00A245DA">
        <w:rPr>
          <w:rFonts w:ascii="Times New Roman" w:hAnsi="Times New Roman" w:cs="Times New Roman"/>
          <w:lang w:eastAsia="et-EE"/>
        </w:rPr>
        <w:t xml:space="preserve"> Pärast läbirääkimisi on</w:t>
      </w:r>
      <w:r w:rsidR="00BD2B3E" w:rsidRPr="00A245DA">
        <w:rPr>
          <w:rFonts w:ascii="Times New Roman" w:hAnsi="Times New Roman" w:cs="Times New Roman"/>
          <w:lang w:eastAsia="et-EE"/>
        </w:rPr>
        <w:t xml:space="preserve"> </w:t>
      </w:r>
      <w:r w:rsidR="000D54EE" w:rsidRPr="00A245DA">
        <w:rPr>
          <w:rFonts w:ascii="Times New Roman" w:hAnsi="Times New Roman" w:cs="Times New Roman"/>
          <w:lang w:eastAsia="et-EE"/>
        </w:rPr>
        <w:t>a</w:t>
      </w:r>
      <w:r w:rsidR="003C135F" w:rsidRPr="00A245DA">
        <w:rPr>
          <w:rFonts w:ascii="Times New Roman" w:hAnsi="Times New Roman" w:cs="Times New Roman"/>
        </w:rPr>
        <w:t xml:space="preserve">sutustel võimalik esitada täiendatud ettepanek, mis </w:t>
      </w:r>
      <w:r w:rsidR="000D54EE" w:rsidRPr="00A245DA">
        <w:rPr>
          <w:rFonts w:ascii="Times New Roman" w:hAnsi="Times New Roman" w:cs="Times New Roman"/>
        </w:rPr>
        <w:t xml:space="preserve">arvestab </w:t>
      </w:r>
      <w:r w:rsidR="003C135F" w:rsidRPr="00A245DA">
        <w:rPr>
          <w:rFonts w:ascii="Times New Roman" w:hAnsi="Times New Roman" w:cs="Times New Roman"/>
        </w:rPr>
        <w:t>läbirääkimiste tulemusi</w:t>
      </w:r>
      <w:r w:rsidR="009449F1" w:rsidRPr="00A245DA">
        <w:rPr>
          <w:rFonts w:ascii="Times New Roman" w:hAnsi="Times New Roman" w:cs="Times New Roman"/>
        </w:rPr>
        <w:t>, kuid läbirääkimised ei mõjuta antud hinde</w:t>
      </w:r>
      <w:r w:rsidRPr="00A245DA">
        <w:rPr>
          <w:rFonts w:ascii="Times New Roman" w:hAnsi="Times New Roman" w:cs="Times New Roman"/>
        </w:rPr>
        <w:t>punkte</w:t>
      </w:r>
      <w:r w:rsidR="009449F1" w:rsidRPr="00A245DA">
        <w:rPr>
          <w:rFonts w:ascii="Times New Roman" w:hAnsi="Times New Roman" w:cs="Times New Roman"/>
        </w:rPr>
        <w:t xml:space="preserve"> ja tekkinud </w:t>
      </w:r>
      <w:r w:rsidR="00714C97" w:rsidRPr="00A245DA">
        <w:rPr>
          <w:rFonts w:ascii="Times New Roman" w:hAnsi="Times New Roman" w:cs="Times New Roman"/>
        </w:rPr>
        <w:t xml:space="preserve">lävendit ületanud </w:t>
      </w:r>
      <w:r w:rsidR="00C41412" w:rsidRPr="00A245DA">
        <w:rPr>
          <w:rFonts w:ascii="Times New Roman" w:hAnsi="Times New Roman" w:cs="Times New Roman"/>
        </w:rPr>
        <w:t>ettepanekute</w:t>
      </w:r>
      <w:r w:rsidR="00714C97" w:rsidRPr="00A245DA">
        <w:rPr>
          <w:rFonts w:ascii="Times New Roman" w:hAnsi="Times New Roman" w:cs="Times New Roman"/>
        </w:rPr>
        <w:t xml:space="preserve"> nimekirja</w:t>
      </w:r>
      <w:r w:rsidR="009449F1" w:rsidRPr="00A245DA">
        <w:rPr>
          <w:rFonts w:ascii="Times New Roman" w:hAnsi="Times New Roman" w:cs="Times New Roman"/>
        </w:rPr>
        <w:t>, vaid võimaldavad täpsustada rahastamise tingimusi</w:t>
      </w:r>
      <w:r w:rsidR="003C135F" w:rsidRPr="00A245DA">
        <w:rPr>
          <w:rFonts w:ascii="Times New Roman" w:hAnsi="Times New Roman" w:cs="Times New Roman"/>
        </w:rPr>
        <w:t>. Täiendatud ettepaneku</w:t>
      </w:r>
      <w:r w:rsidR="001868FF" w:rsidRPr="00A245DA">
        <w:rPr>
          <w:rFonts w:ascii="Times New Roman" w:hAnsi="Times New Roman" w:cs="Times New Roman"/>
        </w:rPr>
        <w:t>i</w:t>
      </w:r>
      <w:r w:rsidR="003C135F" w:rsidRPr="00A245DA">
        <w:rPr>
          <w:rFonts w:ascii="Times New Roman" w:hAnsi="Times New Roman" w:cs="Times New Roman"/>
        </w:rPr>
        <w:t xml:space="preserve">d </w:t>
      </w:r>
      <w:r w:rsidR="009449F1" w:rsidRPr="00A245DA">
        <w:rPr>
          <w:rFonts w:ascii="Times New Roman" w:hAnsi="Times New Roman" w:cs="Times New Roman"/>
        </w:rPr>
        <w:t xml:space="preserve">uuesti ei hinnata. </w:t>
      </w:r>
      <w:r w:rsidR="00D07948" w:rsidRPr="00A245DA">
        <w:rPr>
          <w:rFonts w:ascii="Times New Roman" w:hAnsi="Times New Roman" w:cs="Times New Roman"/>
        </w:rPr>
        <w:t>Täiendatud ettepanekud on hiljem aluseks toetuse taotluste ettepanekule vastavuse kontrollimisel</w:t>
      </w:r>
      <w:r w:rsidR="00C45FDB" w:rsidRPr="00A245DA">
        <w:rPr>
          <w:rFonts w:ascii="Times New Roman" w:hAnsi="Times New Roman" w:cs="Times New Roman"/>
        </w:rPr>
        <w:t>e</w:t>
      </w:r>
      <w:r w:rsidR="00D07948" w:rsidRPr="00A245DA">
        <w:rPr>
          <w:rFonts w:ascii="Times New Roman" w:hAnsi="Times New Roman" w:cs="Times New Roman"/>
        </w:rPr>
        <w:t xml:space="preserve"> (vt § 21-22).</w:t>
      </w:r>
      <w:r w:rsidR="003C135F" w:rsidRPr="00A245DA">
        <w:rPr>
          <w:rFonts w:ascii="Times New Roman" w:hAnsi="Times New Roman" w:cs="Times New Roman"/>
        </w:rPr>
        <w:t xml:space="preserve"> </w:t>
      </w:r>
    </w:p>
    <w:p w14:paraId="6F697E89" w14:textId="77777777" w:rsidR="00C6282F" w:rsidRPr="00A245DA" w:rsidRDefault="00C6282F" w:rsidP="003C135F">
      <w:pPr>
        <w:pStyle w:val="NoSpacing"/>
        <w:jc w:val="both"/>
        <w:rPr>
          <w:rFonts w:ascii="Times New Roman" w:hAnsi="Times New Roman" w:cs="Times New Roman"/>
          <w:u w:val="single"/>
        </w:rPr>
      </w:pPr>
    </w:p>
    <w:p w14:paraId="607918B7" w14:textId="44C7A268" w:rsidR="0084540E" w:rsidRPr="00A245DA" w:rsidRDefault="003C135F" w:rsidP="000B38B4">
      <w:pPr>
        <w:pStyle w:val="NoSpacing"/>
        <w:jc w:val="both"/>
        <w:rPr>
          <w:rFonts w:ascii="Times New Roman" w:hAnsi="Times New Roman" w:cs="Times New Roman"/>
        </w:rPr>
      </w:pPr>
      <w:r w:rsidRPr="00A245DA">
        <w:rPr>
          <w:rFonts w:ascii="Times New Roman" w:hAnsi="Times New Roman" w:cs="Times New Roman"/>
          <w:u w:val="single"/>
        </w:rPr>
        <w:t>Lõi</w:t>
      </w:r>
      <w:r w:rsidR="00714C97" w:rsidRPr="00A245DA">
        <w:rPr>
          <w:rFonts w:ascii="Times New Roman" w:hAnsi="Times New Roman" w:cs="Times New Roman"/>
          <w:u w:val="single"/>
        </w:rPr>
        <w:t>get</w:t>
      </w:r>
      <w:r w:rsidRPr="00A245DA">
        <w:rPr>
          <w:rFonts w:ascii="Times New Roman" w:hAnsi="Times New Roman" w:cs="Times New Roman"/>
          <w:u w:val="single"/>
        </w:rPr>
        <w:t xml:space="preserve">es </w:t>
      </w:r>
      <w:r w:rsidR="00714C97" w:rsidRPr="00A245DA">
        <w:rPr>
          <w:rFonts w:ascii="Times New Roman" w:hAnsi="Times New Roman" w:cs="Times New Roman"/>
          <w:u w:val="single"/>
        </w:rPr>
        <w:t>9-10</w:t>
      </w:r>
      <w:r w:rsidRPr="00A245DA">
        <w:rPr>
          <w:rFonts w:ascii="Times New Roman" w:hAnsi="Times New Roman" w:cs="Times New Roman"/>
        </w:rPr>
        <w:t xml:space="preserve"> </w:t>
      </w:r>
      <w:r w:rsidR="0084540E" w:rsidRPr="00A245DA">
        <w:rPr>
          <w:rFonts w:ascii="Times New Roman" w:hAnsi="Times New Roman" w:cs="Times New Roman"/>
        </w:rPr>
        <w:t xml:space="preserve">kirjeldatakse, et toetussummad kujunevad hindamisprotsessi ja läbirääkimiste tulemusel. Põhjendatud juhtudel võib hindamiskomisjon seada </w:t>
      </w:r>
      <w:r w:rsidR="00C41412" w:rsidRPr="00A245DA">
        <w:rPr>
          <w:rFonts w:ascii="Times New Roman" w:hAnsi="Times New Roman" w:cs="Times New Roman"/>
        </w:rPr>
        <w:t xml:space="preserve">ettepanekus kirjeldatud </w:t>
      </w:r>
      <w:r w:rsidR="0084540E" w:rsidRPr="00A245DA">
        <w:rPr>
          <w:rFonts w:ascii="Times New Roman" w:hAnsi="Times New Roman" w:cs="Times New Roman"/>
        </w:rPr>
        <w:t xml:space="preserve">projektidele täiendavaid tingimusi. </w:t>
      </w:r>
      <w:r w:rsidR="0084540E" w:rsidRPr="00A245DA">
        <w:rPr>
          <w:rFonts w:ascii="Times New Roman" w:eastAsia="Calibri" w:hAnsi="Times New Roman" w:cs="Times New Roman"/>
          <w:lang w:eastAsia="et-EE"/>
        </w:rPr>
        <w:t>Põhjendatud juhuks on eelkõige ettepaneku esitaja poolt hindamiskomisjoni eelnevalt tehtud märkuste või ettepanekutega mittearvestamine või osaline arvestamine.</w:t>
      </w:r>
      <w:r w:rsidR="00714C97" w:rsidRPr="00A245DA">
        <w:rPr>
          <w:rFonts w:ascii="Times New Roman" w:eastAsia="Calibri" w:hAnsi="Times New Roman" w:cs="Times New Roman"/>
          <w:lang w:eastAsia="et-EE"/>
        </w:rPr>
        <w:t xml:space="preserve"> </w:t>
      </w:r>
      <w:r w:rsidR="000B38B4" w:rsidRPr="00A245DA">
        <w:rPr>
          <w:rFonts w:ascii="Times New Roman" w:eastAsia="Calibri" w:hAnsi="Times New Roman" w:cs="Times New Roman"/>
          <w:lang w:eastAsia="et-EE"/>
        </w:rPr>
        <w:t>T</w:t>
      </w:r>
      <w:r w:rsidR="000B38B4" w:rsidRPr="00A245DA">
        <w:rPr>
          <w:rFonts w:ascii="Times New Roman" w:hAnsi="Times New Roman" w:cs="Times New Roman"/>
        </w:rPr>
        <w:t>ingimustega rahuldamise ettepaneku tegemisel antakse ettepaneku esitajale võimalus avaldada selle kohta oma arvamust. Arvamuse avaldamiseks antakse ettepanekute esitajatele võimalus juba läbirääkimiste etapis.</w:t>
      </w:r>
    </w:p>
    <w:p w14:paraId="57748E88" w14:textId="77777777" w:rsidR="00C6282F" w:rsidRPr="00A245DA" w:rsidRDefault="00C6282F" w:rsidP="003C135F">
      <w:pPr>
        <w:pStyle w:val="NoSpacing"/>
        <w:jc w:val="both"/>
        <w:rPr>
          <w:rFonts w:ascii="Times New Roman" w:hAnsi="Times New Roman" w:cs="Times New Roman"/>
          <w:u w:val="single"/>
        </w:rPr>
      </w:pPr>
    </w:p>
    <w:p w14:paraId="255EC127" w14:textId="354093D6" w:rsidR="0084540E" w:rsidRPr="00A245DA" w:rsidRDefault="0084540E" w:rsidP="003C135F">
      <w:pPr>
        <w:pStyle w:val="NoSpacing"/>
        <w:jc w:val="both"/>
        <w:rPr>
          <w:rFonts w:ascii="Times New Roman" w:hAnsi="Times New Roman" w:cs="Times New Roman"/>
        </w:rPr>
      </w:pPr>
      <w:r w:rsidRPr="00A245DA">
        <w:rPr>
          <w:rFonts w:ascii="Times New Roman" w:hAnsi="Times New Roman" w:cs="Times New Roman"/>
          <w:u w:val="single"/>
        </w:rPr>
        <w:t>Lõi</w:t>
      </w:r>
      <w:r w:rsidR="00C41412" w:rsidRPr="00A245DA">
        <w:rPr>
          <w:rFonts w:ascii="Times New Roman" w:hAnsi="Times New Roman" w:cs="Times New Roman"/>
          <w:u w:val="single"/>
        </w:rPr>
        <w:t>g</w:t>
      </w:r>
      <w:r w:rsidRPr="00A245DA">
        <w:rPr>
          <w:rFonts w:ascii="Times New Roman" w:hAnsi="Times New Roman" w:cs="Times New Roman"/>
          <w:u w:val="single"/>
        </w:rPr>
        <w:t>e</w:t>
      </w:r>
      <w:r w:rsidR="00C41412" w:rsidRPr="00A245DA">
        <w:rPr>
          <w:rFonts w:ascii="Times New Roman" w:hAnsi="Times New Roman" w:cs="Times New Roman"/>
          <w:u w:val="single"/>
        </w:rPr>
        <w:t>te</w:t>
      </w:r>
      <w:r w:rsidRPr="00A245DA">
        <w:rPr>
          <w:rFonts w:ascii="Times New Roman" w:hAnsi="Times New Roman" w:cs="Times New Roman"/>
          <w:u w:val="single"/>
        </w:rPr>
        <w:t>s 1</w:t>
      </w:r>
      <w:r w:rsidR="00714C97" w:rsidRPr="00A245DA">
        <w:rPr>
          <w:rFonts w:ascii="Times New Roman" w:hAnsi="Times New Roman" w:cs="Times New Roman"/>
          <w:u w:val="single"/>
        </w:rPr>
        <w:t>1</w:t>
      </w:r>
      <w:r w:rsidR="00C41412" w:rsidRPr="00A245DA">
        <w:rPr>
          <w:rFonts w:ascii="Times New Roman" w:hAnsi="Times New Roman" w:cs="Times New Roman"/>
          <w:u w:val="single"/>
        </w:rPr>
        <w:t>-12</w:t>
      </w:r>
      <w:r w:rsidRPr="00A245DA">
        <w:rPr>
          <w:rFonts w:ascii="Times New Roman" w:hAnsi="Times New Roman" w:cs="Times New Roman"/>
        </w:rPr>
        <w:t xml:space="preserve"> </w:t>
      </w:r>
      <w:r w:rsidR="003C135F" w:rsidRPr="00A245DA">
        <w:rPr>
          <w:rFonts w:ascii="Times New Roman" w:hAnsi="Times New Roman" w:cs="Times New Roman"/>
        </w:rPr>
        <w:t>on kirjeldatud, mis on hindamisprotsessi tulemus: hindamiskomisjon esitab</w:t>
      </w:r>
      <w:r w:rsidR="00714C97" w:rsidRPr="00A245DA">
        <w:rPr>
          <w:rFonts w:ascii="Times New Roman" w:hAnsi="Times New Roman" w:cs="Times New Roman"/>
        </w:rPr>
        <w:t xml:space="preserve"> rakendusüksusele</w:t>
      </w:r>
      <w:r w:rsidR="003C135F" w:rsidRPr="00A245DA">
        <w:rPr>
          <w:rFonts w:ascii="Times New Roman" w:hAnsi="Times New Roman" w:cs="Times New Roman"/>
        </w:rPr>
        <w:t xml:space="preserve"> lävendid ületanud </w:t>
      </w:r>
      <w:r w:rsidR="00C41412" w:rsidRPr="00A245DA">
        <w:rPr>
          <w:rFonts w:ascii="Times New Roman" w:hAnsi="Times New Roman" w:cs="Times New Roman"/>
        </w:rPr>
        <w:t>ettepanekute nimekirja</w:t>
      </w:r>
      <w:r w:rsidR="003C135F" w:rsidRPr="00A245DA">
        <w:rPr>
          <w:rFonts w:ascii="Times New Roman" w:hAnsi="Times New Roman" w:cs="Times New Roman"/>
        </w:rPr>
        <w:t xml:space="preserve">, </w:t>
      </w:r>
      <w:r w:rsidR="00510D75" w:rsidRPr="00A245DA">
        <w:rPr>
          <w:rFonts w:ascii="Times New Roman" w:hAnsi="Times New Roman" w:cs="Times New Roman"/>
        </w:rPr>
        <w:t>läbirääkimiste protokolli,</w:t>
      </w:r>
      <w:r w:rsidR="009449F1" w:rsidRPr="00A245DA">
        <w:rPr>
          <w:rFonts w:ascii="Times New Roman" w:hAnsi="Times New Roman" w:cs="Times New Roman"/>
        </w:rPr>
        <w:t xml:space="preserve"> mis on ettepaneku esitajatele siduv,</w:t>
      </w:r>
      <w:r w:rsidR="00510D75" w:rsidRPr="00A245DA">
        <w:rPr>
          <w:rFonts w:ascii="Times New Roman" w:hAnsi="Times New Roman" w:cs="Times New Roman"/>
        </w:rPr>
        <w:t xml:space="preserve"> </w:t>
      </w:r>
      <w:r w:rsidRPr="00A245DA">
        <w:rPr>
          <w:rFonts w:ascii="Times New Roman" w:hAnsi="Times New Roman" w:cs="Times New Roman"/>
        </w:rPr>
        <w:t xml:space="preserve">ja </w:t>
      </w:r>
      <w:r w:rsidR="003C135F" w:rsidRPr="00A245DA">
        <w:rPr>
          <w:rFonts w:ascii="Times New Roman" w:hAnsi="Times New Roman" w:cs="Times New Roman"/>
        </w:rPr>
        <w:t>hindamisraporti</w:t>
      </w:r>
      <w:r w:rsidR="00510D75" w:rsidRPr="00A245DA">
        <w:rPr>
          <w:rFonts w:ascii="Times New Roman" w:hAnsi="Times New Roman" w:cs="Times New Roman"/>
        </w:rPr>
        <w:t>d</w:t>
      </w:r>
      <w:r w:rsidR="00392A53" w:rsidRPr="00A245DA">
        <w:rPr>
          <w:rFonts w:ascii="Times New Roman" w:hAnsi="Times New Roman" w:cs="Times New Roman"/>
        </w:rPr>
        <w:t xml:space="preserve">. </w:t>
      </w:r>
      <w:r w:rsidR="00C41412" w:rsidRPr="00A245DA">
        <w:rPr>
          <w:rFonts w:ascii="Times New Roman" w:hAnsi="Times New Roman" w:cs="Times New Roman"/>
        </w:rPr>
        <w:t>Lävendit ületanud ettepanekutes sisalduvaid projekte rahastatakse ASTRA eelarve piires.</w:t>
      </w:r>
    </w:p>
    <w:p w14:paraId="608B1B71" w14:textId="77777777" w:rsidR="00C6282F" w:rsidRPr="00A245DA" w:rsidRDefault="00C6282F" w:rsidP="003C135F">
      <w:pPr>
        <w:pStyle w:val="NoSpacing"/>
        <w:jc w:val="both"/>
        <w:rPr>
          <w:rFonts w:ascii="Times New Roman" w:hAnsi="Times New Roman" w:cs="Times New Roman"/>
          <w:u w:val="single"/>
        </w:rPr>
      </w:pPr>
    </w:p>
    <w:p w14:paraId="3FCE03FE" w14:textId="54B931A3" w:rsidR="0084540E" w:rsidRPr="00A245DA" w:rsidRDefault="0084540E" w:rsidP="003C135F">
      <w:pPr>
        <w:pStyle w:val="NoSpacing"/>
        <w:jc w:val="both"/>
        <w:rPr>
          <w:rFonts w:ascii="Times New Roman" w:hAnsi="Times New Roman" w:cs="Times New Roman"/>
        </w:rPr>
      </w:pPr>
      <w:r w:rsidRPr="00A245DA">
        <w:rPr>
          <w:rFonts w:ascii="Times New Roman" w:hAnsi="Times New Roman" w:cs="Times New Roman"/>
          <w:u w:val="single"/>
        </w:rPr>
        <w:t>Lõige 13</w:t>
      </w:r>
      <w:r w:rsidRPr="00A245DA">
        <w:rPr>
          <w:rFonts w:ascii="Times New Roman" w:hAnsi="Times New Roman" w:cs="Times New Roman"/>
        </w:rPr>
        <w:t xml:space="preserve"> sätestab, et i</w:t>
      </w:r>
      <w:r w:rsidR="00392A53" w:rsidRPr="00A245DA">
        <w:rPr>
          <w:rFonts w:ascii="Times New Roman" w:hAnsi="Times New Roman" w:cs="Times New Roman"/>
        </w:rPr>
        <w:t xml:space="preserve">nvesteeringute kavasse arvatakse ainult need projektid, mis </w:t>
      </w:r>
      <w:r w:rsidRPr="00A245DA">
        <w:rPr>
          <w:rFonts w:ascii="Times New Roman" w:hAnsi="Times New Roman" w:cs="Times New Roman"/>
        </w:rPr>
        <w:t>hõlmavad teadus- ja õppehoonete rajamist</w:t>
      </w:r>
      <w:r w:rsidR="003C135F" w:rsidRPr="00A245DA">
        <w:rPr>
          <w:rFonts w:ascii="Times New Roman" w:hAnsi="Times New Roman" w:cs="Times New Roman"/>
        </w:rPr>
        <w:t>.</w:t>
      </w:r>
      <w:r w:rsidR="00392A53" w:rsidRPr="00A245DA">
        <w:rPr>
          <w:rFonts w:ascii="Times New Roman" w:hAnsi="Times New Roman" w:cs="Times New Roman"/>
        </w:rPr>
        <w:t xml:space="preserve"> </w:t>
      </w:r>
      <w:r w:rsidRPr="00A245DA">
        <w:rPr>
          <w:rFonts w:ascii="Times New Roman" w:hAnsi="Times New Roman" w:cs="Times New Roman"/>
        </w:rPr>
        <w:t>Hindamiskomisjon esitab motiveeritud ettepaneku nende projektide arvamiseks investeeringute kava eelnõusse või jätta projekt investeeringute kavast välja.</w:t>
      </w:r>
    </w:p>
    <w:p w14:paraId="3C7A3B50" w14:textId="77777777" w:rsidR="00C6282F" w:rsidRPr="00A245DA" w:rsidRDefault="00C6282F" w:rsidP="003C135F">
      <w:pPr>
        <w:pStyle w:val="NoSpacing"/>
        <w:jc w:val="both"/>
        <w:rPr>
          <w:rFonts w:ascii="Times New Roman" w:hAnsi="Times New Roman" w:cs="Times New Roman"/>
          <w:u w:val="single"/>
        </w:rPr>
      </w:pPr>
    </w:p>
    <w:p w14:paraId="72CD62E7" w14:textId="53F1D563" w:rsidR="003C135F" w:rsidRPr="00A245DA" w:rsidRDefault="0084540E" w:rsidP="003C135F">
      <w:pPr>
        <w:pStyle w:val="NoSpacing"/>
        <w:jc w:val="both"/>
        <w:rPr>
          <w:rFonts w:ascii="Times New Roman" w:eastAsia="Calibri" w:hAnsi="Times New Roman" w:cs="Times New Roman"/>
          <w:lang w:eastAsia="et-EE"/>
        </w:rPr>
      </w:pPr>
      <w:r w:rsidRPr="00A245DA">
        <w:rPr>
          <w:rFonts w:ascii="Times New Roman" w:hAnsi="Times New Roman" w:cs="Times New Roman"/>
          <w:u w:val="single"/>
        </w:rPr>
        <w:t>Lõige 14</w:t>
      </w:r>
      <w:r w:rsidRPr="00A245DA">
        <w:rPr>
          <w:rFonts w:ascii="Times New Roman" w:hAnsi="Times New Roman" w:cs="Times New Roman"/>
        </w:rPr>
        <w:t xml:space="preserve"> sätestab, et </w:t>
      </w:r>
      <w:r w:rsidR="00C41412" w:rsidRPr="00A245DA">
        <w:rPr>
          <w:rFonts w:ascii="Times New Roman" w:hAnsi="Times New Roman" w:cs="Times New Roman"/>
        </w:rPr>
        <w:t>ettepanekud</w:t>
      </w:r>
      <w:r w:rsidRPr="00A245DA">
        <w:rPr>
          <w:rFonts w:ascii="Times New Roman" w:hAnsi="Times New Roman" w:cs="Times New Roman"/>
        </w:rPr>
        <w:t>, mis ei hõlma investeeringuid teadus- ja õppehoonetesse, kiidetakse hindamiskomisjoni poolt heaks ning nende projektide kohta</w:t>
      </w:r>
      <w:r w:rsidR="00392A53" w:rsidRPr="00A245DA">
        <w:rPr>
          <w:rFonts w:ascii="Times New Roman" w:hAnsi="Times New Roman" w:cs="Times New Roman"/>
        </w:rPr>
        <w:t xml:space="preserve"> võib taotleja esitada taotluse otse rakendusüksusele</w:t>
      </w:r>
      <w:r w:rsidRPr="00A245DA">
        <w:rPr>
          <w:rFonts w:ascii="Times New Roman" w:hAnsi="Times New Roman" w:cs="Times New Roman"/>
        </w:rPr>
        <w:t xml:space="preserve"> vastavalt § 18 kirjeldatud korrale.</w:t>
      </w:r>
      <w:r w:rsidR="00392A53" w:rsidRPr="00A245DA">
        <w:rPr>
          <w:rFonts w:ascii="Times New Roman" w:hAnsi="Times New Roman" w:cs="Times New Roman"/>
        </w:rPr>
        <w:t xml:space="preserve"> Neid projekte ei kanta investeeringute kavasse.</w:t>
      </w:r>
      <w:r w:rsidR="004154C1" w:rsidRPr="00A245DA">
        <w:rPr>
          <w:rFonts w:ascii="Times New Roman" w:hAnsi="Times New Roman" w:cs="Times New Roman"/>
        </w:rPr>
        <w:t xml:space="preserve"> </w:t>
      </w:r>
      <w:r w:rsidR="000B38B4" w:rsidRPr="00A245DA">
        <w:rPr>
          <w:rFonts w:ascii="Times New Roman" w:hAnsi="Times New Roman" w:cs="Times New Roman"/>
        </w:rPr>
        <w:t>Hindamiskomisjoni h</w:t>
      </w:r>
      <w:r w:rsidR="004154C1" w:rsidRPr="00A245DA">
        <w:rPr>
          <w:rFonts w:ascii="Times New Roman" w:hAnsi="Times New Roman" w:cs="Times New Roman"/>
        </w:rPr>
        <w:t xml:space="preserve">eakskiitmise </w:t>
      </w:r>
      <w:r w:rsidR="000B38B4" w:rsidRPr="00A245DA">
        <w:rPr>
          <w:rFonts w:ascii="Times New Roman" w:hAnsi="Times New Roman" w:cs="Times New Roman"/>
        </w:rPr>
        <w:t xml:space="preserve"> järel teeb rakendusüksus</w:t>
      </w:r>
      <w:r w:rsidR="004154C1" w:rsidRPr="00A245DA">
        <w:rPr>
          <w:rFonts w:ascii="Times New Roman" w:hAnsi="Times New Roman" w:cs="Times New Roman"/>
        </w:rPr>
        <w:t xml:space="preserve"> </w:t>
      </w:r>
      <w:r w:rsidR="000B38B4" w:rsidRPr="00A245DA">
        <w:rPr>
          <w:rFonts w:ascii="Times New Roman" w:hAnsi="Times New Roman" w:cs="Times New Roman"/>
        </w:rPr>
        <w:t xml:space="preserve">otsuse ettepaneku </w:t>
      </w:r>
      <w:r w:rsidR="00C41412" w:rsidRPr="00A245DA">
        <w:rPr>
          <w:rFonts w:ascii="Times New Roman" w:hAnsi="Times New Roman" w:cs="Times New Roman"/>
        </w:rPr>
        <w:t>lävendit ületanud ettepanekute nimekirja</w:t>
      </w:r>
      <w:r w:rsidR="004154C1" w:rsidRPr="00A245DA">
        <w:rPr>
          <w:rFonts w:ascii="Times New Roman" w:hAnsi="Times New Roman" w:cs="Times New Roman"/>
        </w:rPr>
        <w:t xml:space="preserve"> arvamise </w:t>
      </w:r>
      <w:r w:rsidR="000B38B4" w:rsidRPr="00A245DA">
        <w:rPr>
          <w:rFonts w:ascii="Times New Roman" w:hAnsi="Times New Roman" w:cs="Times New Roman"/>
        </w:rPr>
        <w:t>kohta ja</w:t>
      </w:r>
      <w:r w:rsidR="004154C1" w:rsidRPr="00A245DA">
        <w:rPr>
          <w:rFonts w:ascii="Times New Roman" w:hAnsi="Times New Roman" w:cs="Times New Roman"/>
        </w:rPr>
        <w:t xml:space="preserve"> teavitab</w:t>
      </w:r>
      <w:r w:rsidR="000B38B4" w:rsidRPr="00A245DA">
        <w:rPr>
          <w:rFonts w:ascii="Times New Roman" w:hAnsi="Times New Roman" w:cs="Times New Roman"/>
        </w:rPr>
        <w:t xml:space="preserve"> sellest</w:t>
      </w:r>
      <w:r w:rsidR="004154C1" w:rsidRPr="00A245DA">
        <w:rPr>
          <w:rFonts w:ascii="Times New Roman" w:hAnsi="Times New Roman" w:cs="Times New Roman"/>
        </w:rPr>
        <w:t xml:space="preserve"> ettepaneku esitajat.</w:t>
      </w:r>
      <w:r w:rsidR="003C135F" w:rsidRPr="00A245DA">
        <w:rPr>
          <w:rFonts w:ascii="Times New Roman" w:hAnsi="Times New Roman" w:cs="Times New Roman"/>
        </w:rPr>
        <w:t xml:space="preserve"> </w:t>
      </w:r>
    </w:p>
    <w:p w14:paraId="2D535750" w14:textId="77777777" w:rsidR="00C6282F" w:rsidRPr="00A245DA" w:rsidRDefault="00C6282F" w:rsidP="003C135F">
      <w:pPr>
        <w:pStyle w:val="NoSpacing"/>
        <w:jc w:val="both"/>
        <w:rPr>
          <w:rFonts w:ascii="Times New Roman" w:eastAsia="Calibri" w:hAnsi="Times New Roman" w:cs="Times New Roman"/>
          <w:u w:val="single"/>
          <w:lang w:eastAsia="et-EE"/>
        </w:rPr>
      </w:pPr>
    </w:p>
    <w:p w14:paraId="4259D754" w14:textId="7F9408EF" w:rsidR="004154C1" w:rsidRPr="00A245DA" w:rsidRDefault="004154C1" w:rsidP="003C135F">
      <w:pPr>
        <w:pStyle w:val="NoSpacing"/>
        <w:jc w:val="both"/>
        <w:rPr>
          <w:rFonts w:ascii="Times New Roman" w:hAnsi="Times New Roman" w:cs="Times New Roman"/>
        </w:rPr>
      </w:pPr>
      <w:r w:rsidRPr="00A245DA">
        <w:rPr>
          <w:rFonts w:ascii="Times New Roman" w:eastAsia="Calibri" w:hAnsi="Times New Roman" w:cs="Times New Roman"/>
          <w:u w:val="single"/>
          <w:lang w:eastAsia="et-EE"/>
        </w:rPr>
        <w:t>Lõikes 15</w:t>
      </w:r>
      <w:r w:rsidRPr="00A245DA">
        <w:rPr>
          <w:rFonts w:ascii="Times New Roman" w:eastAsia="Calibri" w:hAnsi="Times New Roman" w:cs="Times New Roman"/>
          <w:lang w:eastAsia="et-EE"/>
        </w:rPr>
        <w:t xml:space="preserve"> täpsustatakse, et kui </w:t>
      </w:r>
      <w:r w:rsidR="00C41412" w:rsidRPr="00A245DA">
        <w:rPr>
          <w:rFonts w:ascii="Times New Roman" w:eastAsia="Calibri" w:hAnsi="Times New Roman" w:cs="Times New Roman"/>
          <w:lang w:eastAsia="et-EE"/>
        </w:rPr>
        <w:t>ettepanekut</w:t>
      </w:r>
      <w:r w:rsidRPr="00A245DA">
        <w:rPr>
          <w:rFonts w:ascii="Times New Roman" w:eastAsia="Calibri" w:hAnsi="Times New Roman" w:cs="Times New Roman"/>
          <w:lang w:eastAsia="et-EE"/>
        </w:rPr>
        <w:t xml:space="preserve">, mis ei sisalda teadus- ja õppehoonete rajamist, </w:t>
      </w:r>
      <w:r w:rsidR="00C41412" w:rsidRPr="00A245DA">
        <w:rPr>
          <w:rFonts w:ascii="Times New Roman" w:eastAsia="Calibri" w:hAnsi="Times New Roman" w:cs="Times New Roman"/>
          <w:lang w:eastAsia="et-EE"/>
        </w:rPr>
        <w:t xml:space="preserve">ei arvata lävendit ületanud ettepanekute nimekirja, </w:t>
      </w:r>
      <w:r w:rsidRPr="00A245DA">
        <w:rPr>
          <w:rFonts w:ascii="Times New Roman" w:eastAsia="Calibri" w:hAnsi="Times New Roman" w:cs="Times New Roman"/>
          <w:lang w:eastAsia="et-EE"/>
        </w:rPr>
        <w:t>teeb rakendusüksus ettepaneku rahuldamata jätmise otsuse ning sellest teavitatakse ettepaneku esitajat vastavalt § 17 kirjeldatud korrale.</w:t>
      </w:r>
    </w:p>
    <w:p w14:paraId="10007295" w14:textId="77777777" w:rsidR="00C6282F" w:rsidRPr="00A245DA" w:rsidRDefault="00C6282F" w:rsidP="003C135F">
      <w:pPr>
        <w:pStyle w:val="NoSpacing"/>
        <w:jc w:val="both"/>
        <w:rPr>
          <w:rFonts w:ascii="Times New Roman" w:hAnsi="Times New Roman" w:cs="Times New Roman"/>
          <w:u w:val="single"/>
        </w:rPr>
      </w:pPr>
    </w:p>
    <w:p w14:paraId="5CE96724" w14:textId="47FECA68" w:rsidR="004154C1" w:rsidRPr="00A245DA" w:rsidRDefault="004154C1" w:rsidP="003C135F">
      <w:pPr>
        <w:pStyle w:val="NoSpacing"/>
        <w:jc w:val="both"/>
        <w:rPr>
          <w:rFonts w:ascii="Times New Roman" w:hAnsi="Times New Roman" w:cs="Times New Roman"/>
        </w:rPr>
      </w:pPr>
      <w:r w:rsidRPr="00A245DA">
        <w:rPr>
          <w:rFonts w:ascii="Times New Roman" w:hAnsi="Times New Roman" w:cs="Times New Roman"/>
          <w:u w:val="single"/>
        </w:rPr>
        <w:t>Lõikes 1</w:t>
      </w:r>
      <w:r w:rsidR="000B38B4" w:rsidRPr="00A245DA">
        <w:rPr>
          <w:rFonts w:ascii="Times New Roman" w:hAnsi="Times New Roman" w:cs="Times New Roman"/>
          <w:u w:val="single"/>
        </w:rPr>
        <w:t>6</w:t>
      </w:r>
      <w:r w:rsidRPr="00A245DA">
        <w:rPr>
          <w:rFonts w:ascii="Times New Roman" w:hAnsi="Times New Roman" w:cs="Times New Roman"/>
        </w:rPr>
        <w:t xml:space="preserve"> sätestatakse, et juhul, kui hindamiskomisjoni ettepanekuid pole arvestatud, rakendatakse § 17 sätestatut.</w:t>
      </w:r>
    </w:p>
    <w:p w14:paraId="485CCBB7" w14:textId="77777777" w:rsidR="00C6282F" w:rsidRPr="00A245DA" w:rsidRDefault="00C6282F" w:rsidP="00C8465E">
      <w:pPr>
        <w:pStyle w:val="NoSpacing"/>
        <w:jc w:val="both"/>
        <w:rPr>
          <w:rFonts w:ascii="Times New Roman" w:hAnsi="Times New Roman" w:cs="Times New Roman"/>
          <w:u w:val="single"/>
        </w:rPr>
      </w:pPr>
    </w:p>
    <w:p w14:paraId="7CCDA5A0" w14:textId="77777777" w:rsidR="00C6282F" w:rsidRPr="00A245DA" w:rsidRDefault="00C6282F" w:rsidP="00C6282F">
      <w:pPr>
        <w:pStyle w:val="NoSpacing"/>
        <w:jc w:val="both"/>
        <w:rPr>
          <w:rFonts w:ascii="Times New Roman" w:hAnsi="Times New Roman" w:cs="Times New Roman"/>
          <w:bCs/>
        </w:rPr>
      </w:pPr>
      <w:r w:rsidRPr="00A245DA">
        <w:rPr>
          <w:rFonts w:ascii="Times New Roman" w:hAnsi="Times New Roman" w:cs="Times New Roman"/>
          <w:b/>
          <w:bCs/>
          <w:u w:val="single"/>
        </w:rPr>
        <w:t>4. peatükk Investeeringute kava koostamine, muutmine ja meetme tegevuse vabade vahendite eraldamine</w:t>
      </w:r>
      <w:r w:rsidRPr="00A245DA">
        <w:rPr>
          <w:rFonts w:ascii="Times New Roman" w:hAnsi="Times New Roman" w:cs="Times New Roman"/>
          <w:bCs/>
        </w:rPr>
        <w:t xml:space="preserve"> </w:t>
      </w:r>
    </w:p>
    <w:p w14:paraId="7857D392" w14:textId="77777777" w:rsidR="00C6282F" w:rsidRPr="00A245DA" w:rsidRDefault="00C6282F" w:rsidP="00C6282F">
      <w:pPr>
        <w:pStyle w:val="NoSpacing"/>
        <w:jc w:val="both"/>
        <w:rPr>
          <w:rFonts w:ascii="Times New Roman" w:hAnsi="Times New Roman" w:cs="Times New Roman"/>
        </w:rPr>
      </w:pPr>
      <w:r w:rsidRPr="00A245DA">
        <w:rPr>
          <w:rFonts w:ascii="Times New Roman" w:hAnsi="Times New Roman" w:cs="Times New Roman"/>
        </w:rPr>
        <w:t>Eelnõu 4. peatükis kirjeldatakse investeeringute kava koostamist, muutmist ja meetme tegevuse vabade vahendite eraldamise korda.</w:t>
      </w:r>
    </w:p>
    <w:p w14:paraId="5C5C9055" w14:textId="77777777" w:rsidR="00C6282F" w:rsidRPr="00A245DA" w:rsidRDefault="00C6282F" w:rsidP="00C6282F">
      <w:pPr>
        <w:pStyle w:val="NoSpacing"/>
        <w:jc w:val="both"/>
        <w:rPr>
          <w:rFonts w:ascii="Times New Roman" w:hAnsi="Times New Roman" w:cs="Times New Roman"/>
          <w:u w:val="single"/>
        </w:rPr>
      </w:pPr>
    </w:p>
    <w:p w14:paraId="6619F64D" w14:textId="77777777" w:rsidR="00C6282F" w:rsidRPr="00A245DA" w:rsidRDefault="00C6282F" w:rsidP="00C6282F">
      <w:pPr>
        <w:pStyle w:val="NoSpacing"/>
        <w:jc w:val="both"/>
        <w:rPr>
          <w:rFonts w:ascii="Times New Roman" w:hAnsi="Times New Roman" w:cs="Times New Roman"/>
        </w:rPr>
      </w:pPr>
      <w:r w:rsidRPr="00A245DA">
        <w:rPr>
          <w:rFonts w:ascii="Times New Roman" w:hAnsi="Times New Roman" w:cs="Times New Roman"/>
          <w:u w:val="single"/>
        </w:rPr>
        <w:t xml:space="preserve">§-s 15 </w:t>
      </w:r>
      <w:r w:rsidRPr="00A245DA">
        <w:rPr>
          <w:rFonts w:ascii="Times New Roman" w:hAnsi="Times New Roman" w:cs="Times New Roman"/>
        </w:rPr>
        <w:t>öeldakse, et investeeringute kava koostatakse ainult nende projektide kohta,</w:t>
      </w:r>
      <w:r w:rsidRPr="00A245DA">
        <w:rPr>
          <w:rFonts w:ascii="Times New Roman" w:eastAsia="Calibri" w:hAnsi="Times New Roman" w:cs="Times New Roman"/>
          <w:lang w:eastAsia="et-EE"/>
        </w:rPr>
        <w:t xml:space="preserve"> mis hõlmavad teadus- ja õppehoonete rajamist. </w:t>
      </w:r>
      <w:r w:rsidRPr="00A245DA">
        <w:rPr>
          <w:rFonts w:ascii="Times New Roman" w:hAnsi="Times New Roman" w:cs="Times New Roman"/>
        </w:rPr>
        <w:t>Investeeringute kava eelnõu koostab rakendusasutus ja esitab selle Vabariigi Valitsusele kinnitamiseks.</w:t>
      </w:r>
    </w:p>
    <w:p w14:paraId="5E0FA616" w14:textId="77777777" w:rsidR="00B04F65" w:rsidRPr="00A245DA" w:rsidRDefault="00B04F65" w:rsidP="00C8465E">
      <w:pPr>
        <w:pStyle w:val="NoSpacing"/>
        <w:jc w:val="both"/>
        <w:rPr>
          <w:rFonts w:ascii="Times New Roman" w:hAnsi="Times New Roman" w:cs="Times New Roman"/>
          <w:u w:val="single"/>
        </w:rPr>
      </w:pPr>
    </w:p>
    <w:p w14:paraId="7330438A" w14:textId="77777777" w:rsidR="00B04F65" w:rsidRPr="00A245DA" w:rsidRDefault="00B04F65" w:rsidP="00C8465E">
      <w:pPr>
        <w:pStyle w:val="NoSpacing"/>
        <w:jc w:val="both"/>
        <w:rPr>
          <w:rFonts w:ascii="Times New Roman" w:hAnsi="Times New Roman" w:cs="Times New Roman"/>
          <w:u w:val="single"/>
        </w:rPr>
      </w:pPr>
    </w:p>
    <w:p w14:paraId="7058FF54" w14:textId="77777777" w:rsidR="00B04F65" w:rsidRPr="00A245DA" w:rsidRDefault="00B04F65" w:rsidP="00C8465E">
      <w:pPr>
        <w:pStyle w:val="NoSpacing"/>
        <w:jc w:val="both"/>
        <w:rPr>
          <w:rFonts w:ascii="Times New Roman" w:hAnsi="Times New Roman" w:cs="Times New Roman"/>
          <w:u w:val="single"/>
        </w:rPr>
      </w:pPr>
    </w:p>
    <w:p w14:paraId="06312D7F" w14:textId="77777777" w:rsidR="00B04F65" w:rsidRPr="00A245DA" w:rsidRDefault="00B04F65" w:rsidP="00C8465E">
      <w:pPr>
        <w:pStyle w:val="NoSpacing"/>
        <w:jc w:val="both"/>
        <w:rPr>
          <w:rFonts w:ascii="Times New Roman" w:hAnsi="Times New Roman" w:cs="Times New Roman"/>
          <w:u w:val="single"/>
        </w:rPr>
      </w:pPr>
    </w:p>
    <w:p w14:paraId="35518486" w14:textId="77777777" w:rsidR="00B04F65" w:rsidRPr="00A245DA" w:rsidRDefault="00B04F65" w:rsidP="00C8465E">
      <w:pPr>
        <w:pStyle w:val="NoSpacing"/>
        <w:jc w:val="both"/>
        <w:rPr>
          <w:rFonts w:ascii="Times New Roman" w:hAnsi="Times New Roman" w:cs="Times New Roman"/>
          <w:u w:val="single"/>
        </w:rPr>
      </w:pPr>
    </w:p>
    <w:p w14:paraId="04957A07" w14:textId="77777777" w:rsidR="00B04F65" w:rsidRPr="00A245DA" w:rsidRDefault="00B04F65" w:rsidP="00C8465E">
      <w:pPr>
        <w:pStyle w:val="NoSpacing"/>
        <w:jc w:val="both"/>
        <w:rPr>
          <w:rFonts w:ascii="Times New Roman" w:hAnsi="Times New Roman" w:cs="Times New Roman"/>
          <w:u w:val="single"/>
        </w:rPr>
      </w:pPr>
    </w:p>
    <w:p w14:paraId="272AE76A" w14:textId="77777777" w:rsidR="00B04F65" w:rsidRPr="00A245DA" w:rsidRDefault="00B04F65" w:rsidP="00C8465E">
      <w:pPr>
        <w:pStyle w:val="NoSpacing"/>
        <w:jc w:val="both"/>
        <w:rPr>
          <w:rFonts w:ascii="Times New Roman" w:hAnsi="Times New Roman" w:cs="Times New Roman"/>
          <w:u w:val="single"/>
        </w:rPr>
      </w:pPr>
    </w:p>
    <w:p w14:paraId="4D1A8D28" w14:textId="77777777" w:rsidR="00B04F65" w:rsidRPr="00A245DA" w:rsidRDefault="00B04F65" w:rsidP="00C8465E">
      <w:pPr>
        <w:pStyle w:val="NoSpacing"/>
        <w:jc w:val="both"/>
        <w:rPr>
          <w:rFonts w:ascii="Times New Roman" w:hAnsi="Times New Roman" w:cs="Times New Roman"/>
          <w:u w:val="single"/>
        </w:rPr>
      </w:pPr>
    </w:p>
    <w:p w14:paraId="1622E85A" w14:textId="40788199" w:rsidR="00B04F65" w:rsidRPr="00A245DA" w:rsidRDefault="00B04F65" w:rsidP="00C8465E">
      <w:pPr>
        <w:pStyle w:val="NoSpacing"/>
        <w:jc w:val="both"/>
        <w:rPr>
          <w:rFonts w:ascii="Times New Roman" w:hAnsi="Times New Roman" w:cs="Times New Roman"/>
          <w:u w:val="single"/>
        </w:rPr>
      </w:pPr>
    </w:p>
    <w:p w14:paraId="268B1384" w14:textId="77777777" w:rsidR="00B04F65" w:rsidRPr="00A245DA" w:rsidRDefault="00B04F65" w:rsidP="00C8465E">
      <w:pPr>
        <w:pStyle w:val="NoSpacing"/>
        <w:jc w:val="both"/>
        <w:rPr>
          <w:rFonts w:ascii="Times New Roman" w:hAnsi="Times New Roman" w:cs="Times New Roman"/>
          <w:u w:val="single"/>
        </w:rPr>
      </w:pPr>
    </w:p>
    <w:p w14:paraId="4C54E601" w14:textId="77777777" w:rsidR="00B04F65" w:rsidRPr="00A245DA" w:rsidRDefault="00B04F65" w:rsidP="00C8465E">
      <w:pPr>
        <w:pStyle w:val="NoSpacing"/>
        <w:jc w:val="both"/>
        <w:rPr>
          <w:rFonts w:ascii="Times New Roman" w:hAnsi="Times New Roman" w:cs="Times New Roman"/>
          <w:u w:val="single"/>
        </w:rPr>
      </w:pPr>
    </w:p>
    <w:p w14:paraId="6204640C" w14:textId="77777777" w:rsidR="00B04F65" w:rsidRPr="00A245DA" w:rsidRDefault="00B04F65" w:rsidP="00C8465E">
      <w:pPr>
        <w:pStyle w:val="NoSpacing"/>
        <w:jc w:val="both"/>
        <w:rPr>
          <w:rFonts w:ascii="Times New Roman" w:hAnsi="Times New Roman" w:cs="Times New Roman"/>
          <w:u w:val="single"/>
        </w:rPr>
      </w:pPr>
    </w:p>
    <w:p w14:paraId="067595F6" w14:textId="77777777" w:rsidR="00B04F65" w:rsidRPr="00A245DA" w:rsidRDefault="00B04F65" w:rsidP="00C8465E">
      <w:pPr>
        <w:pStyle w:val="NoSpacing"/>
        <w:jc w:val="both"/>
        <w:rPr>
          <w:rFonts w:ascii="Times New Roman" w:hAnsi="Times New Roman" w:cs="Times New Roman"/>
          <w:u w:val="single"/>
        </w:rPr>
      </w:pPr>
    </w:p>
    <w:p w14:paraId="5F802B1F" w14:textId="77777777" w:rsidR="00B04F65" w:rsidRPr="00A245DA" w:rsidRDefault="00B04F65" w:rsidP="00C8465E">
      <w:pPr>
        <w:pStyle w:val="NoSpacing"/>
        <w:jc w:val="both"/>
        <w:rPr>
          <w:rFonts w:ascii="Times New Roman" w:hAnsi="Times New Roman" w:cs="Times New Roman"/>
          <w:u w:val="single"/>
        </w:rPr>
      </w:pPr>
    </w:p>
    <w:p w14:paraId="765CF1E3" w14:textId="77777777" w:rsidR="00B04F65" w:rsidRPr="00A245DA" w:rsidRDefault="00B04F65" w:rsidP="00C8465E">
      <w:pPr>
        <w:pStyle w:val="NoSpacing"/>
        <w:jc w:val="both"/>
        <w:rPr>
          <w:rFonts w:ascii="Times New Roman" w:hAnsi="Times New Roman" w:cs="Times New Roman"/>
          <w:u w:val="single"/>
        </w:rPr>
      </w:pPr>
    </w:p>
    <w:p w14:paraId="04235D24" w14:textId="77777777" w:rsidR="00B04F65" w:rsidRPr="00A245DA" w:rsidRDefault="00B04F65" w:rsidP="00C8465E">
      <w:pPr>
        <w:pStyle w:val="NoSpacing"/>
        <w:jc w:val="both"/>
        <w:rPr>
          <w:rFonts w:ascii="Times New Roman" w:hAnsi="Times New Roman" w:cs="Times New Roman"/>
          <w:u w:val="single"/>
        </w:rPr>
      </w:pPr>
    </w:p>
    <w:p w14:paraId="3383D632" w14:textId="77777777" w:rsidR="00B04F65" w:rsidRPr="00A245DA" w:rsidRDefault="00B04F65" w:rsidP="00C8465E">
      <w:pPr>
        <w:pStyle w:val="NoSpacing"/>
        <w:jc w:val="both"/>
        <w:rPr>
          <w:rFonts w:ascii="Times New Roman" w:hAnsi="Times New Roman" w:cs="Times New Roman"/>
          <w:u w:val="single"/>
        </w:rPr>
      </w:pPr>
    </w:p>
    <w:p w14:paraId="727E9EC0" w14:textId="77777777" w:rsidR="00B04F65" w:rsidRPr="00A245DA" w:rsidRDefault="00B04F65" w:rsidP="00C8465E">
      <w:pPr>
        <w:pStyle w:val="NoSpacing"/>
        <w:jc w:val="both"/>
        <w:rPr>
          <w:rFonts w:ascii="Times New Roman" w:hAnsi="Times New Roman" w:cs="Times New Roman"/>
          <w:u w:val="single"/>
        </w:rPr>
      </w:pPr>
    </w:p>
    <w:p w14:paraId="682C56FA" w14:textId="77777777" w:rsidR="00B04F65" w:rsidRPr="00A245DA" w:rsidRDefault="00B04F65" w:rsidP="00C8465E">
      <w:pPr>
        <w:pStyle w:val="NoSpacing"/>
        <w:jc w:val="both"/>
        <w:rPr>
          <w:rFonts w:ascii="Times New Roman" w:hAnsi="Times New Roman" w:cs="Times New Roman"/>
          <w:u w:val="single"/>
        </w:rPr>
      </w:pPr>
    </w:p>
    <w:p w14:paraId="7E4F6155" w14:textId="77777777" w:rsidR="00B04F65" w:rsidRPr="00A245DA" w:rsidRDefault="00B04F65" w:rsidP="00C8465E">
      <w:pPr>
        <w:pStyle w:val="NoSpacing"/>
        <w:jc w:val="both"/>
        <w:rPr>
          <w:rFonts w:ascii="Times New Roman" w:hAnsi="Times New Roman" w:cs="Times New Roman"/>
          <w:u w:val="single"/>
        </w:rPr>
      </w:pPr>
    </w:p>
    <w:p w14:paraId="5297A303" w14:textId="77777777" w:rsidR="00B04F65" w:rsidRPr="00A245DA" w:rsidRDefault="00B04F65" w:rsidP="00C8465E">
      <w:pPr>
        <w:pStyle w:val="NoSpacing"/>
        <w:jc w:val="both"/>
        <w:rPr>
          <w:rFonts w:ascii="Times New Roman" w:hAnsi="Times New Roman" w:cs="Times New Roman"/>
          <w:u w:val="single"/>
        </w:rPr>
      </w:pPr>
    </w:p>
    <w:p w14:paraId="6BBE899D" w14:textId="77777777" w:rsidR="00B04F65" w:rsidRPr="00A245DA" w:rsidRDefault="00B04F65" w:rsidP="00C8465E">
      <w:pPr>
        <w:pStyle w:val="NoSpacing"/>
        <w:jc w:val="both"/>
        <w:rPr>
          <w:rFonts w:ascii="Times New Roman" w:hAnsi="Times New Roman" w:cs="Times New Roman"/>
          <w:u w:val="single"/>
        </w:rPr>
      </w:pPr>
    </w:p>
    <w:p w14:paraId="15FBC918" w14:textId="77777777" w:rsidR="00B04F65" w:rsidRPr="00A245DA" w:rsidRDefault="00B04F65" w:rsidP="00C8465E">
      <w:pPr>
        <w:pStyle w:val="NoSpacing"/>
        <w:jc w:val="both"/>
        <w:rPr>
          <w:rFonts w:ascii="Times New Roman" w:hAnsi="Times New Roman" w:cs="Times New Roman"/>
          <w:u w:val="single"/>
        </w:rPr>
      </w:pPr>
    </w:p>
    <w:p w14:paraId="15FA5EB9" w14:textId="77777777" w:rsidR="00B04F65" w:rsidRPr="00A245DA" w:rsidRDefault="00B04F65" w:rsidP="00C8465E">
      <w:pPr>
        <w:pStyle w:val="NoSpacing"/>
        <w:jc w:val="both"/>
        <w:rPr>
          <w:rFonts w:ascii="Times New Roman" w:hAnsi="Times New Roman" w:cs="Times New Roman"/>
          <w:u w:val="single"/>
        </w:rPr>
      </w:pPr>
    </w:p>
    <w:p w14:paraId="79388E19" w14:textId="77777777" w:rsidR="00B04F65" w:rsidRPr="00A245DA" w:rsidRDefault="00B04F65" w:rsidP="00C8465E">
      <w:pPr>
        <w:pStyle w:val="NoSpacing"/>
        <w:jc w:val="both"/>
        <w:rPr>
          <w:rFonts w:ascii="Times New Roman" w:hAnsi="Times New Roman" w:cs="Times New Roman"/>
          <w:u w:val="single"/>
        </w:rPr>
      </w:pPr>
    </w:p>
    <w:p w14:paraId="0F2F2136" w14:textId="77777777" w:rsidR="00B04F65" w:rsidRPr="00A245DA" w:rsidRDefault="00B04F65" w:rsidP="00C8465E">
      <w:pPr>
        <w:pStyle w:val="NoSpacing"/>
        <w:jc w:val="both"/>
        <w:rPr>
          <w:rFonts w:ascii="Times New Roman" w:hAnsi="Times New Roman" w:cs="Times New Roman"/>
          <w:u w:val="single"/>
        </w:rPr>
      </w:pPr>
    </w:p>
    <w:p w14:paraId="6072DFBE" w14:textId="77777777" w:rsidR="00B04F65" w:rsidRPr="00A245DA" w:rsidRDefault="00B04F65" w:rsidP="00C8465E">
      <w:pPr>
        <w:pStyle w:val="NoSpacing"/>
        <w:jc w:val="both"/>
        <w:rPr>
          <w:rFonts w:ascii="Times New Roman" w:hAnsi="Times New Roman" w:cs="Times New Roman"/>
          <w:u w:val="single"/>
        </w:rPr>
      </w:pPr>
    </w:p>
    <w:p w14:paraId="4C64C992" w14:textId="5BF042F6" w:rsidR="009131EA" w:rsidRPr="00A245DA" w:rsidRDefault="00D2527E" w:rsidP="00C8465E">
      <w:pPr>
        <w:pStyle w:val="NoSpacing"/>
        <w:jc w:val="both"/>
        <w:rPr>
          <w:rFonts w:ascii="Times New Roman" w:hAnsi="Times New Roman" w:cs="Times New Roman"/>
          <w:u w:val="single"/>
        </w:rPr>
      </w:pPr>
      <w:r w:rsidRPr="00A245DA">
        <w:rPr>
          <w:rFonts w:ascii="Times New Roman" w:hAnsi="Times New Roman" w:cs="Times New Roman"/>
          <w:u w:val="single"/>
        </w:rPr>
        <w:t>Protsessiskeem</w:t>
      </w:r>
      <w:r w:rsidR="00C6282F" w:rsidRPr="00A245DA">
        <w:rPr>
          <w:rFonts w:ascii="Times New Roman" w:hAnsi="Times New Roman" w:cs="Times New Roman"/>
          <w:u w:val="single"/>
        </w:rPr>
        <w:t>:</w:t>
      </w:r>
    </w:p>
    <w:p w14:paraId="415B2BC7" w14:textId="1D0BCF64" w:rsidR="003C135F" w:rsidRPr="00A245DA" w:rsidRDefault="00D2527E" w:rsidP="00C8465E">
      <w:pPr>
        <w:pStyle w:val="NoSpacing"/>
        <w:jc w:val="both"/>
        <w:rPr>
          <w:rFonts w:ascii="Times New Roman" w:eastAsia="Calibri" w:hAnsi="Times New Roman" w:cs="Times New Roman"/>
          <w:b/>
          <w:highlight w:val="lightGray"/>
          <w:lang w:eastAsia="et-EE"/>
        </w:rPr>
      </w:pPr>
      <w:r w:rsidRPr="00A245DA">
        <w:rPr>
          <w:rFonts w:ascii="Times New Roman" w:eastAsia="Calibri" w:hAnsi="Times New Roman" w:cs="Times New Roman"/>
          <w:b/>
          <w:noProof/>
          <w:lang w:eastAsia="et-EE"/>
        </w:rPr>
        <mc:AlternateContent>
          <mc:Choice Requires="wps">
            <w:drawing>
              <wp:anchor distT="0" distB="0" distL="114300" distR="114300" simplePos="0" relativeHeight="251644928" behindDoc="0" locked="0" layoutInCell="1" allowOverlap="1" wp14:anchorId="6C1EFC30" wp14:editId="098E9084">
                <wp:simplePos x="0" y="0"/>
                <wp:positionH relativeFrom="margin">
                  <wp:posOffset>2324100</wp:posOffset>
                </wp:positionH>
                <wp:positionV relativeFrom="paragraph">
                  <wp:posOffset>1590675</wp:posOffset>
                </wp:positionV>
                <wp:extent cx="1793875" cy="641985"/>
                <wp:effectExtent l="0" t="0" r="15875" b="24765"/>
                <wp:wrapNone/>
                <wp:docPr id="8" name="Tekstiväli 8"/>
                <wp:cNvGraphicFramePr/>
                <a:graphic xmlns:a="http://schemas.openxmlformats.org/drawingml/2006/main">
                  <a:graphicData uri="http://schemas.microsoft.com/office/word/2010/wordprocessingShape">
                    <wps:wsp>
                      <wps:cNvSpPr txBox="1"/>
                      <wps:spPr>
                        <a:xfrm>
                          <a:off x="0" y="0"/>
                          <a:ext cx="1793875" cy="641985"/>
                        </a:xfrm>
                        <a:prstGeom prst="rect">
                          <a:avLst/>
                        </a:prstGeom>
                        <a:solidFill>
                          <a:sysClr val="window" lastClr="FFFFFF"/>
                        </a:solidFill>
                        <a:ln w="25400" cap="flat" cmpd="sng" algn="ctr">
                          <a:solidFill>
                            <a:srgbClr val="4F81BD"/>
                          </a:solidFill>
                          <a:prstDash val="solid"/>
                        </a:ln>
                        <a:effectLst/>
                      </wps:spPr>
                      <wps:txbx>
                        <w:txbxContent>
                          <w:p w14:paraId="0DD77E06" w14:textId="78886D68" w:rsidR="00E11AD1" w:rsidRPr="00631341" w:rsidRDefault="00E11AD1" w:rsidP="00D2527E">
                            <w:pPr>
                              <w:spacing w:before="0" w:after="0"/>
                              <w:rPr>
                                <w:rFonts w:ascii="Arial Narrow" w:hAnsi="Arial Narrow"/>
                              </w:rPr>
                            </w:pPr>
                            <w:r w:rsidRPr="00631341">
                              <w:rPr>
                                <w:rFonts w:ascii="Arial Narrow" w:hAnsi="Arial Narrow"/>
                              </w:rPr>
                              <w:t>Osa</w:t>
                            </w:r>
                            <w:r>
                              <w:rPr>
                                <w:rFonts w:ascii="Arial Narrow" w:hAnsi="Arial Narrow"/>
                              </w:rPr>
                              <w:t>d</w:t>
                            </w:r>
                            <w:r w:rsidRPr="00631341">
                              <w:rPr>
                                <w:rFonts w:ascii="Arial Narrow" w:hAnsi="Arial Narrow"/>
                              </w:rPr>
                              <w:t xml:space="preserve"> </w:t>
                            </w:r>
                            <w:r>
                              <w:rPr>
                                <w:rFonts w:ascii="Arial Narrow" w:hAnsi="Arial Narrow"/>
                              </w:rPr>
                              <w:t>ettepanekute esitajad</w:t>
                            </w:r>
                            <w:r w:rsidRPr="00631341">
                              <w:rPr>
                                <w:rFonts w:ascii="Arial Narrow" w:hAnsi="Arial Narrow"/>
                              </w:rPr>
                              <w:t xml:space="preserve"> </w:t>
                            </w:r>
                            <w:r w:rsidRPr="00631341">
                              <w:rPr>
                                <w:rFonts w:ascii="Arial Narrow" w:hAnsi="Arial Narrow"/>
                                <w:b/>
                              </w:rPr>
                              <w:t xml:space="preserve">kutsutakse läbirääkimistele </w:t>
                            </w:r>
                            <w:r w:rsidRPr="007D2082">
                              <w:rPr>
                                <w:rFonts w:ascii="Arial Narrow" w:hAnsi="Arial Narrow"/>
                              </w:rPr>
                              <w:t>ettepanekute</w:t>
                            </w:r>
                            <w:r w:rsidRPr="00631341">
                              <w:rPr>
                                <w:rFonts w:ascii="Arial Narrow" w:hAnsi="Arial Narrow"/>
                              </w:rPr>
                              <w:t xml:space="preserve"> täiendamiseks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1EFC30" id="_x0000_t202" coordsize="21600,21600" o:spt="202" path="m,l,21600r21600,l21600,xe">
                <v:stroke joinstyle="miter"/>
                <v:path gradientshapeok="t" o:connecttype="rect"/>
              </v:shapetype>
              <v:shape id="Tekstiväli 8" o:spid="_x0000_s1026" type="#_x0000_t202" style="position:absolute;left:0;text-align:left;margin-left:183pt;margin-top:125.25pt;width:141.25pt;height:50.5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" fillcolor="window" strokecolor="#4f81bd" strokeweight="2pt">
                <v:textbox>
                  <w:txbxContent>
                    <w:p w14:paraId="0DD77E06" w14:textId="78886D68" w:rsidR="00E11AD1" w:rsidRPr="00631341" w:rsidRDefault="00E11AD1" w:rsidP="00D2527E">
                      <w:pPr>
                        <w:spacing w:before="0" w:after="0"/>
                        <w:rPr>
                          <w:rFonts w:ascii="Arial Narrow" w:hAnsi="Arial Narrow"/>
                        </w:rPr>
                      </w:pPr>
                      <w:r w:rsidRPr="00631341">
                        <w:rPr>
                          <w:rFonts w:ascii="Arial Narrow" w:hAnsi="Arial Narrow"/>
                        </w:rPr>
                        <w:t>Osa</w:t>
                      </w:r>
                      <w:r>
                        <w:rPr>
                          <w:rFonts w:ascii="Arial Narrow" w:hAnsi="Arial Narrow"/>
                        </w:rPr>
                        <w:t>d</w:t>
                      </w:r>
                      <w:r w:rsidRPr="00631341">
                        <w:rPr>
                          <w:rFonts w:ascii="Arial Narrow" w:hAnsi="Arial Narrow"/>
                        </w:rPr>
                        <w:t xml:space="preserve"> </w:t>
                      </w:r>
                      <w:r>
                        <w:rPr>
                          <w:rFonts w:ascii="Arial Narrow" w:hAnsi="Arial Narrow"/>
                        </w:rPr>
                        <w:t>ettepanekute esitajad</w:t>
                      </w:r>
                      <w:r w:rsidRPr="00631341">
                        <w:rPr>
                          <w:rFonts w:ascii="Arial Narrow" w:hAnsi="Arial Narrow"/>
                        </w:rPr>
                        <w:t xml:space="preserve"> </w:t>
                      </w:r>
                      <w:r w:rsidRPr="00631341">
                        <w:rPr>
                          <w:rFonts w:ascii="Arial Narrow" w:hAnsi="Arial Narrow"/>
                          <w:b/>
                        </w:rPr>
                        <w:t xml:space="preserve">kutsutakse läbirääkimistele </w:t>
                      </w:r>
                      <w:r w:rsidRPr="007D2082">
                        <w:rPr>
                          <w:rFonts w:ascii="Arial Narrow" w:hAnsi="Arial Narrow"/>
                        </w:rPr>
                        <w:t>ettepanekute</w:t>
                      </w:r>
                      <w:r w:rsidRPr="00631341">
                        <w:rPr>
                          <w:rFonts w:ascii="Arial Narrow" w:hAnsi="Arial Narrow"/>
                        </w:rPr>
                        <w:t xml:space="preserve"> täiendamiseks</w:t>
                      </w:r>
                    </w:p>
                  </w:txbxContent>
                </v:textbox>
                <w10:wrap anchorx="margin"/>
              </v:shape>
            </w:pict>
          </mc:Fallback>
        </mc:AlternateContent>
      </w:r>
      <w:r w:rsidRPr="00A245DA">
        <w:rPr>
          <w:rFonts w:ascii="Times New Roman" w:eastAsia="Calibri" w:hAnsi="Times New Roman" w:cs="Times New Roman"/>
          <w:b/>
          <w:noProof/>
          <w:lang w:eastAsia="et-EE"/>
        </w:rPr>
        <mc:AlternateContent>
          <mc:Choice Requires="wps">
            <w:drawing>
              <wp:anchor distT="0" distB="0" distL="114300" distR="114300" simplePos="0" relativeHeight="251648000" behindDoc="0" locked="0" layoutInCell="1" allowOverlap="1" wp14:anchorId="7FF9BDCB" wp14:editId="2DB18AD1">
                <wp:simplePos x="0" y="0"/>
                <wp:positionH relativeFrom="column">
                  <wp:posOffset>1781175</wp:posOffset>
                </wp:positionH>
                <wp:positionV relativeFrom="paragraph">
                  <wp:posOffset>0</wp:posOffset>
                </wp:positionV>
                <wp:extent cx="2743200" cy="295275"/>
                <wp:effectExtent l="0" t="0" r="19050" b="28575"/>
                <wp:wrapNone/>
                <wp:docPr id="10" name="Tekstiväli 10"/>
                <wp:cNvGraphicFramePr/>
                <a:graphic xmlns:a="http://schemas.openxmlformats.org/drawingml/2006/main">
                  <a:graphicData uri="http://schemas.microsoft.com/office/word/2010/wordprocessingShape">
                    <wps:wsp>
                      <wps:cNvSpPr txBox="1"/>
                      <wps:spPr>
                        <a:xfrm>
                          <a:off x="0" y="0"/>
                          <a:ext cx="2743200" cy="295275"/>
                        </a:xfrm>
                        <a:prstGeom prst="rect">
                          <a:avLst/>
                        </a:prstGeom>
                        <a:solidFill>
                          <a:sysClr val="window" lastClr="FFFFFF"/>
                        </a:solidFill>
                        <a:ln w="6350">
                          <a:solidFill>
                            <a:prstClr val="black"/>
                          </a:solidFill>
                        </a:ln>
                        <a:effectLst/>
                      </wps:spPr>
                      <wps:txbx>
                        <w:txbxContent>
                          <w:p w14:paraId="6A7C3208" w14:textId="0601DBF4" w:rsidR="00E11AD1" w:rsidRPr="006606F4" w:rsidRDefault="00E11AD1" w:rsidP="00D2527E">
                            <w:pPr>
                              <w:spacing w:before="0" w:after="0"/>
                              <w:jc w:val="center"/>
                              <w:rPr>
                                <w:rFonts w:ascii="Arial Narrow" w:hAnsi="Arial Narrow"/>
                                <w:b/>
                              </w:rPr>
                            </w:pPr>
                            <w:r>
                              <w:rPr>
                                <w:rFonts w:ascii="Arial Narrow" w:hAnsi="Arial Narrow"/>
                                <w:b/>
                              </w:rPr>
                              <w:t>E</w:t>
                            </w:r>
                            <w:r w:rsidRPr="006606F4">
                              <w:rPr>
                                <w:rFonts w:ascii="Arial Narrow" w:hAnsi="Arial Narrow"/>
                                <w:b/>
                              </w:rPr>
                              <w:t>ttepanekute esitamine</w:t>
                            </w:r>
                          </w:p>
                          <w:p w14:paraId="39984009" w14:textId="77777777" w:rsidR="00E11AD1" w:rsidRPr="000866FE" w:rsidRDefault="00E11AD1" w:rsidP="00D2527E">
                            <w:pPr>
                              <w:pStyle w:val="western"/>
                              <w:spacing w:after="0"/>
                              <w:ind w:left="36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9BDCB" id="Tekstiväli 10" o:spid="_x0000_s1027" type="#_x0000_t202" style="position:absolute;left:0;text-align:left;margin-left:140.25pt;margin-top:0;width:3in;height:23.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" fillcolor="window" strokeweight=".5pt">
                <v:textbox>
                  <w:txbxContent>
                    <w:p w14:paraId="6A7C3208" w14:textId="0601DBF4" w:rsidR="00E11AD1" w:rsidRPr="006606F4" w:rsidRDefault="00E11AD1" w:rsidP="00D2527E">
                      <w:pPr>
                        <w:spacing w:before="0" w:after="0"/>
                        <w:jc w:val="center"/>
                        <w:rPr>
                          <w:rFonts w:ascii="Arial Narrow" w:hAnsi="Arial Narrow"/>
                          <w:b/>
                        </w:rPr>
                      </w:pPr>
                      <w:r>
                        <w:rPr>
                          <w:rFonts w:ascii="Arial Narrow" w:hAnsi="Arial Narrow"/>
                          <w:b/>
                        </w:rPr>
                        <w:t>E</w:t>
                      </w:r>
                      <w:r w:rsidRPr="006606F4">
                        <w:rPr>
                          <w:rFonts w:ascii="Arial Narrow" w:hAnsi="Arial Narrow"/>
                          <w:b/>
                        </w:rPr>
                        <w:t>ttepanekute esitamine</w:t>
                      </w:r>
                    </w:p>
                    <w:p w14:paraId="39984009" w14:textId="77777777" w:rsidR="00E11AD1" w:rsidRPr="000866FE" w:rsidRDefault="00E11AD1" w:rsidP="00D2527E">
                      <w:pPr>
                        <w:pStyle w:val="western"/>
                        <w:spacing w:after="0"/>
                        <w:ind w:left="360"/>
                        <w:rPr>
                          <w:b/>
                        </w:rPr>
                      </w:pPr>
                    </w:p>
                  </w:txbxContent>
                </v:textbox>
              </v:shape>
            </w:pict>
          </mc:Fallback>
        </mc:AlternateContent>
      </w:r>
      <w:r w:rsidRPr="00A245DA">
        <w:rPr>
          <w:rFonts w:ascii="Times New Roman" w:eastAsia="Calibri" w:hAnsi="Times New Roman" w:cs="Times New Roman"/>
          <w:b/>
          <w:noProof/>
          <w:lang w:eastAsia="et-EE"/>
        </w:rPr>
        <mc:AlternateContent>
          <mc:Choice Requires="wps">
            <w:drawing>
              <wp:anchor distT="0" distB="0" distL="114300" distR="114300" simplePos="0" relativeHeight="251651072" behindDoc="0" locked="0" layoutInCell="1" allowOverlap="1" wp14:anchorId="49AE4914" wp14:editId="3E365231">
                <wp:simplePos x="0" y="0"/>
                <wp:positionH relativeFrom="column">
                  <wp:posOffset>0</wp:posOffset>
                </wp:positionH>
                <wp:positionV relativeFrom="paragraph">
                  <wp:posOffset>1609725</wp:posOffset>
                </wp:positionV>
                <wp:extent cx="1562100" cy="641985"/>
                <wp:effectExtent l="0" t="0" r="19050" b="24765"/>
                <wp:wrapNone/>
                <wp:docPr id="11" name="Tekstiväli 11"/>
                <wp:cNvGraphicFramePr/>
                <a:graphic xmlns:a="http://schemas.openxmlformats.org/drawingml/2006/main">
                  <a:graphicData uri="http://schemas.microsoft.com/office/word/2010/wordprocessingShape">
                    <wps:wsp>
                      <wps:cNvSpPr txBox="1"/>
                      <wps:spPr>
                        <a:xfrm>
                          <a:off x="0" y="0"/>
                          <a:ext cx="1562100" cy="641985"/>
                        </a:xfrm>
                        <a:prstGeom prst="rect">
                          <a:avLst/>
                        </a:prstGeom>
                        <a:solidFill>
                          <a:sysClr val="window" lastClr="FFFFFF"/>
                        </a:solidFill>
                        <a:ln w="25400" cap="flat" cmpd="sng" algn="ctr">
                          <a:solidFill>
                            <a:srgbClr val="4F81BD"/>
                          </a:solidFill>
                          <a:prstDash val="solid"/>
                        </a:ln>
                        <a:effectLst/>
                      </wps:spPr>
                      <wps:txbx>
                        <w:txbxContent>
                          <w:p w14:paraId="6C5ED647" w14:textId="77777777" w:rsidR="00E11AD1" w:rsidRPr="00631341" w:rsidRDefault="00E11AD1" w:rsidP="00D2527E">
                            <w:pPr>
                              <w:spacing w:before="0" w:after="0"/>
                              <w:rPr>
                                <w:rFonts w:ascii="Arial Narrow" w:hAnsi="Arial Narrow"/>
                              </w:rPr>
                            </w:pPr>
                            <w:r w:rsidRPr="00631341">
                              <w:rPr>
                                <w:rFonts w:ascii="Arial Narrow" w:hAnsi="Arial Narrow"/>
                              </w:rPr>
                              <w:t xml:space="preserve">Osa ettepanekuid saavad kohe </w:t>
                            </w:r>
                            <w:r w:rsidRPr="00631341">
                              <w:rPr>
                                <w:rFonts w:ascii="Arial Narrow" w:hAnsi="Arial Narrow"/>
                                <w:b/>
                              </w:rPr>
                              <w:t xml:space="preserve">rahastamisotsuse </w:t>
                            </w:r>
                            <w:r w:rsidRPr="00631341">
                              <w:rPr>
                                <w:rFonts w:ascii="Arial Narrow" w:hAnsi="Arial Narrow"/>
                              </w:rPr>
                              <w:t>(ilma läbirääkimisteta)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E4914" id="Tekstiväli 11" o:spid="_x0000_s1028" type="#_x0000_t202" style="position:absolute;left:0;text-align:left;margin-left:0;margin-top:126.75pt;width:123pt;height:50.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" fillcolor="window" strokecolor="#4f81bd" strokeweight="2pt">
                <v:textbox>
                  <w:txbxContent>
                    <w:p w14:paraId="6C5ED647" w14:textId="77777777" w:rsidR="00E11AD1" w:rsidRPr="00631341" w:rsidRDefault="00E11AD1" w:rsidP="00D2527E">
                      <w:pPr>
                        <w:spacing w:before="0" w:after="0"/>
                        <w:rPr>
                          <w:rFonts w:ascii="Arial Narrow" w:hAnsi="Arial Narrow"/>
                        </w:rPr>
                      </w:pPr>
                      <w:r w:rsidRPr="00631341">
                        <w:rPr>
                          <w:rFonts w:ascii="Arial Narrow" w:hAnsi="Arial Narrow"/>
                        </w:rPr>
                        <w:t xml:space="preserve">Osa ettepanekuid saavad kohe </w:t>
                      </w:r>
                      <w:r w:rsidRPr="00631341">
                        <w:rPr>
                          <w:rFonts w:ascii="Arial Narrow" w:hAnsi="Arial Narrow"/>
                          <w:b/>
                        </w:rPr>
                        <w:t xml:space="preserve">rahastamisotsuse </w:t>
                      </w:r>
                      <w:r w:rsidRPr="00631341">
                        <w:rPr>
                          <w:rFonts w:ascii="Arial Narrow" w:hAnsi="Arial Narrow"/>
                        </w:rPr>
                        <w:t>(ilma läbirääkimisteta)</w:t>
                      </w:r>
                    </w:p>
                  </w:txbxContent>
                </v:textbox>
              </v:shape>
            </w:pict>
          </mc:Fallback>
        </mc:AlternateContent>
      </w:r>
      <w:r w:rsidRPr="00A245DA">
        <w:rPr>
          <w:rFonts w:ascii="Times New Roman" w:eastAsia="Calibri" w:hAnsi="Times New Roman" w:cs="Times New Roman"/>
          <w:b/>
          <w:noProof/>
          <w:lang w:eastAsia="et-EE"/>
        </w:rPr>
        <mc:AlternateContent>
          <mc:Choice Requires="wps">
            <w:drawing>
              <wp:anchor distT="0" distB="0" distL="114300" distR="114300" simplePos="0" relativeHeight="251654144" behindDoc="0" locked="0" layoutInCell="1" allowOverlap="1" wp14:anchorId="44FBF80B" wp14:editId="11679A76">
                <wp:simplePos x="0" y="0"/>
                <wp:positionH relativeFrom="margin">
                  <wp:posOffset>1276350</wp:posOffset>
                </wp:positionH>
                <wp:positionV relativeFrom="paragraph">
                  <wp:posOffset>2542540</wp:posOffset>
                </wp:positionV>
                <wp:extent cx="3752850" cy="333375"/>
                <wp:effectExtent l="0" t="0" r="19050" b="28575"/>
                <wp:wrapNone/>
                <wp:docPr id="12" name="Ristkülik 12"/>
                <wp:cNvGraphicFramePr/>
                <a:graphic xmlns:a="http://schemas.openxmlformats.org/drawingml/2006/main">
                  <a:graphicData uri="http://schemas.microsoft.com/office/word/2010/wordprocessingShape">
                    <wps:wsp>
                      <wps:cNvSpPr/>
                      <wps:spPr>
                        <a:xfrm>
                          <a:off x="0" y="0"/>
                          <a:ext cx="3752850" cy="333375"/>
                        </a:xfrm>
                        <a:prstGeom prst="rect">
                          <a:avLst/>
                        </a:prstGeom>
                        <a:solidFill>
                          <a:sysClr val="window" lastClr="FFFFFF"/>
                        </a:solidFill>
                        <a:ln w="3175" cap="flat" cmpd="sng" algn="ctr">
                          <a:solidFill>
                            <a:srgbClr val="002060"/>
                          </a:solidFill>
                          <a:prstDash val="solid"/>
                        </a:ln>
                        <a:effectLst/>
                      </wps:spPr>
                      <wps:txbx>
                        <w:txbxContent>
                          <w:p w14:paraId="38E82B63" w14:textId="364E26C8" w:rsidR="00E11AD1" w:rsidRPr="00631341" w:rsidRDefault="00E11AD1" w:rsidP="00D2527E">
                            <w:pPr>
                              <w:spacing w:before="0" w:after="0"/>
                              <w:jc w:val="center"/>
                              <w:rPr>
                                <w:rFonts w:ascii="Arial Narrow" w:hAnsi="Arial Narrow"/>
                                <w:b/>
                              </w:rPr>
                            </w:pPr>
                            <w:r w:rsidRPr="00631341">
                              <w:rPr>
                                <w:rFonts w:ascii="Arial Narrow" w:hAnsi="Arial Narrow"/>
                                <w:b/>
                              </w:rPr>
                              <w:t>Läbirääkimised ja ettepanekute täiendamine</w:t>
                            </w:r>
                          </w:p>
                          <w:p w14:paraId="3DD5503A" w14:textId="77777777" w:rsidR="00E11AD1" w:rsidRPr="00CF2D88" w:rsidRDefault="00E11AD1" w:rsidP="00D2527E">
                            <w:pP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BF80B" id="Ristkülik 12" o:spid="_x0000_s1029" style="position:absolute;left:0;text-align:left;margin-left:100.5pt;margin-top:200.2pt;width:295.5pt;height:26.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" fillcolor="window" strokecolor="#002060" strokeweight=".25pt">
                <v:textbox>
                  <w:txbxContent>
                    <w:p w14:paraId="38E82B63" w14:textId="364E26C8" w:rsidR="00E11AD1" w:rsidRPr="00631341" w:rsidRDefault="00E11AD1" w:rsidP="00D2527E">
                      <w:pPr>
                        <w:spacing w:before="0" w:after="0"/>
                        <w:jc w:val="center"/>
                        <w:rPr>
                          <w:rFonts w:ascii="Arial Narrow" w:hAnsi="Arial Narrow"/>
                          <w:b/>
                        </w:rPr>
                      </w:pPr>
                      <w:r w:rsidRPr="00631341">
                        <w:rPr>
                          <w:rFonts w:ascii="Arial Narrow" w:hAnsi="Arial Narrow"/>
                          <w:b/>
                        </w:rPr>
                        <w:t>Läbirääkimised ja ettepanekute täiendamine</w:t>
                      </w:r>
                    </w:p>
                    <w:p w14:paraId="3DD5503A" w14:textId="77777777" w:rsidR="00E11AD1" w:rsidRPr="00CF2D88" w:rsidRDefault="00E11AD1" w:rsidP="00D2527E">
                      <w:pPr>
                        <w:rPr>
                          <w:rFonts w:ascii="Times New Roman" w:hAnsi="Times New Roman"/>
                        </w:rPr>
                      </w:pPr>
                    </w:p>
                  </w:txbxContent>
                </v:textbox>
                <w10:wrap anchorx="margin"/>
              </v:rect>
            </w:pict>
          </mc:Fallback>
        </mc:AlternateContent>
      </w:r>
      <w:r w:rsidRPr="00A245DA">
        <w:rPr>
          <w:rFonts w:ascii="Times New Roman" w:eastAsia="Calibri" w:hAnsi="Times New Roman" w:cs="Times New Roman"/>
          <w:b/>
          <w:noProof/>
          <w:lang w:eastAsia="et-EE"/>
        </w:rPr>
        <mc:AlternateContent>
          <mc:Choice Requires="wps">
            <w:drawing>
              <wp:anchor distT="0" distB="0" distL="114300" distR="114300" simplePos="0" relativeHeight="251657216" behindDoc="0" locked="0" layoutInCell="1" allowOverlap="1" wp14:anchorId="4E9D59E3" wp14:editId="058E3C13">
                <wp:simplePos x="0" y="0"/>
                <wp:positionH relativeFrom="margin">
                  <wp:posOffset>3056255</wp:posOffset>
                </wp:positionH>
                <wp:positionV relativeFrom="paragraph">
                  <wp:posOffset>2262505</wp:posOffset>
                </wp:positionV>
                <wp:extent cx="0" cy="275590"/>
                <wp:effectExtent l="133350" t="0" r="57150" b="48260"/>
                <wp:wrapNone/>
                <wp:docPr id="17" name="Sirge noolkonnektor 17"/>
                <wp:cNvGraphicFramePr/>
                <a:graphic xmlns:a="http://schemas.openxmlformats.org/drawingml/2006/main">
                  <a:graphicData uri="http://schemas.microsoft.com/office/word/2010/wordprocessingShape">
                    <wps:wsp>
                      <wps:cNvCnPr/>
                      <wps:spPr>
                        <a:xfrm>
                          <a:off x="0" y="0"/>
                          <a:ext cx="0" cy="275590"/>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222C386D" id="_x0000_t32" coordsize="21600,21600" o:spt="32" o:oned="t" path="m,l21600,21600e" filled="f">
                <v:path arrowok="t" fillok="f" o:connecttype="none"/>
                <o:lock v:ext="edit" shapetype="t"/>
              </v:shapetype>
              <v:shape id="Sirge noolkonnektor 17" o:spid="_x0000_s1026" type="#_x0000_t32" style="position:absolute;margin-left:240.65pt;margin-top:178.15pt;width:0;height:21.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" strokecolor="#4a7ebb" strokeweight="3pt">
                <v:stroke endarrow="open"/>
                <w10:wrap anchorx="margin"/>
              </v:shape>
            </w:pict>
          </mc:Fallback>
        </mc:AlternateContent>
      </w:r>
      <w:r w:rsidRPr="00A245DA">
        <w:rPr>
          <w:rFonts w:ascii="Times New Roman" w:eastAsia="Calibri" w:hAnsi="Times New Roman" w:cs="Times New Roman"/>
          <w:b/>
          <w:noProof/>
          <w:lang w:eastAsia="et-EE"/>
        </w:rPr>
        <mc:AlternateContent>
          <mc:Choice Requires="wps">
            <w:drawing>
              <wp:anchor distT="0" distB="0" distL="114300" distR="114300" simplePos="0" relativeHeight="251660288" behindDoc="0" locked="0" layoutInCell="1" allowOverlap="1" wp14:anchorId="336F5045" wp14:editId="48D495EF">
                <wp:simplePos x="0" y="0"/>
                <wp:positionH relativeFrom="column">
                  <wp:posOffset>3057525</wp:posOffset>
                </wp:positionH>
                <wp:positionV relativeFrom="paragraph">
                  <wp:posOffset>343535</wp:posOffset>
                </wp:positionV>
                <wp:extent cx="0" cy="275590"/>
                <wp:effectExtent l="133350" t="0" r="57150" b="48260"/>
                <wp:wrapNone/>
                <wp:docPr id="22" name="Sirge noolkonnektor 22"/>
                <wp:cNvGraphicFramePr/>
                <a:graphic xmlns:a="http://schemas.openxmlformats.org/drawingml/2006/main">
                  <a:graphicData uri="http://schemas.microsoft.com/office/word/2010/wordprocessingShape">
                    <wps:wsp>
                      <wps:cNvCnPr/>
                      <wps:spPr>
                        <a:xfrm>
                          <a:off x="0" y="0"/>
                          <a:ext cx="0" cy="275590"/>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8E87D8D" id="Sirge noolkonnektor 22" o:spid="_x0000_s1026" type="#_x0000_t32" style="position:absolute;margin-left:240.75pt;margin-top:27.05pt;width:0;height:2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" strokecolor="#4a7ebb" strokeweight="3pt">
                <v:stroke endarrow="open"/>
              </v:shape>
            </w:pict>
          </mc:Fallback>
        </mc:AlternateContent>
      </w:r>
      <w:r w:rsidRPr="00A245DA">
        <w:rPr>
          <w:rFonts w:ascii="Times New Roman" w:eastAsia="Calibri" w:hAnsi="Times New Roman" w:cs="Times New Roman"/>
          <w:b/>
          <w:noProof/>
          <w:lang w:eastAsia="et-EE"/>
        </w:rPr>
        <mc:AlternateContent>
          <mc:Choice Requires="wps">
            <w:drawing>
              <wp:anchor distT="0" distB="0" distL="114300" distR="114300" simplePos="0" relativeHeight="251663360" behindDoc="0" locked="0" layoutInCell="1" allowOverlap="1" wp14:anchorId="23997CCF" wp14:editId="5255DED3">
                <wp:simplePos x="0" y="0"/>
                <wp:positionH relativeFrom="margin">
                  <wp:posOffset>1295400</wp:posOffset>
                </wp:positionH>
                <wp:positionV relativeFrom="paragraph">
                  <wp:posOffset>3181350</wp:posOffset>
                </wp:positionV>
                <wp:extent cx="3724275" cy="1009650"/>
                <wp:effectExtent l="0" t="0" r="28575" b="19050"/>
                <wp:wrapNone/>
                <wp:docPr id="23" name="Ristkülik 23"/>
                <wp:cNvGraphicFramePr/>
                <a:graphic xmlns:a="http://schemas.openxmlformats.org/drawingml/2006/main">
                  <a:graphicData uri="http://schemas.microsoft.com/office/word/2010/wordprocessingShape">
                    <wps:wsp>
                      <wps:cNvSpPr/>
                      <wps:spPr>
                        <a:xfrm>
                          <a:off x="0" y="0"/>
                          <a:ext cx="3724275" cy="1009650"/>
                        </a:xfrm>
                        <a:prstGeom prst="rect">
                          <a:avLst/>
                        </a:prstGeom>
                        <a:solidFill>
                          <a:sysClr val="window" lastClr="FFFFFF"/>
                        </a:solidFill>
                        <a:ln w="3175" cap="flat" cmpd="sng" algn="ctr">
                          <a:solidFill>
                            <a:srgbClr val="002060"/>
                          </a:solidFill>
                          <a:prstDash val="solid"/>
                        </a:ln>
                        <a:effectLst/>
                      </wps:spPr>
                      <wps:txbx>
                        <w:txbxContent>
                          <w:p w14:paraId="413F5D5F" w14:textId="77777777" w:rsidR="00E11AD1" w:rsidRPr="00631341" w:rsidRDefault="00E11AD1" w:rsidP="00D2527E">
                            <w:pPr>
                              <w:spacing w:before="0" w:after="0"/>
                              <w:jc w:val="center"/>
                              <w:rPr>
                                <w:rFonts w:ascii="Arial Narrow" w:hAnsi="Arial Narrow"/>
                                <w:b/>
                              </w:rPr>
                            </w:pPr>
                            <w:r w:rsidRPr="00631341">
                              <w:rPr>
                                <w:rFonts w:ascii="Arial Narrow" w:hAnsi="Arial Narrow"/>
                                <w:b/>
                              </w:rPr>
                              <w:t>Hindamiskomisjoni otsus</w:t>
                            </w:r>
                          </w:p>
                          <w:p w14:paraId="36EDEBCA" w14:textId="768F0AAD" w:rsidR="00E11AD1" w:rsidRPr="00CF2D88" w:rsidRDefault="00E11AD1" w:rsidP="00D2527E">
                            <w:pPr>
                              <w:spacing w:before="0" w:after="0"/>
                              <w:rPr>
                                <w:rFonts w:ascii="Times New Roman" w:hAnsi="Times New Roman"/>
                              </w:rPr>
                            </w:pPr>
                            <w:r>
                              <w:rPr>
                                <w:rFonts w:ascii="Arial Narrow" w:hAnsi="Arial Narrow"/>
                              </w:rPr>
                              <w:t>E</w:t>
                            </w:r>
                            <w:r w:rsidRPr="00631341">
                              <w:rPr>
                                <w:rFonts w:ascii="Arial Narrow" w:hAnsi="Arial Narrow"/>
                              </w:rPr>
                              <w:t xml:space="preserve">ttepanekuid rahastatakse lävendi ületanud projektide hindamistulemuste põhjal ja meetme </w:t>
                            </w:r>
                            <w:r>
                              <w:rPr>
                                <w:rFonts w:ascii="Arial Narrow" w:hAnsi="Arial Narrow"/>
                              </w:rPr>
                              <w:t xml:space="preserve">tegevuse </w:t>
                            </w:r>
                            <w:r w:rsidRPr="00631341">
                              <w:rPr>
                                <w:rFonts w:ascii="Arial Narrow" w:hAnsi="Arial Narrow"/>
                              </w:rPr>
                              <w:t xml:space="preserve">eelarve piires. </w:t>
                            </w:r>
                            <w:r>
                              <w:rPr>
                                <w:rFonts w:ascii="Arial Narrow" w:hAnsi="Arial Narrow"/>
                              </w:rPr>
                              <w:t>H</w:t>
                            </w:r>
                            <w:r w:rsidRPr="00631341">
                              <w:rPr>
                                <w:rFonts w:ascii="Arial Narrow" w:hAnsi="Arial Narrow"/>
                              </w:rPr>
                              <w:t>indamiskomisjon teeb otsused hindepunktidest ja läbirääkimiste tulemustest lähtudes.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97CCF" id="Ristkülik 23" o:spid="_x0000_s1030" style="position:absolute;left:0;text-align:left;margin-left:102pt;margin-top:250.5pt;width:293.25pt;height: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" fillcolor="window" strokecolor="#002060" strokeweight=".25pt">
                <v:textbox>
                  <w:txbxContent>
                    <w:p w14:paraId="413F5D5F" w14:textId="77777777" w:rsidR="00E11AD1" w:rsidRPr="00631341" w:rsidRDefault="00E11AD1" w:rsidP="00D2527E">
                      <w:pPr>
                        <w:spacing w:before="0" w:after="0"/>
                        <w:jc w:val="center"/>
                        <w:rPr>
                          <w:rFonts w:ascii="Arial Narrow" w:hAnsi="Arial Narrow"/>
                          <w:b/>
                        </w:rPr>
                      </w:pPr>
                      <w:r w:rsidRPr="00631341">
                        <w:rPr>
                          <w:rFonts w:ascii="Arial Narrow" w:hAnsi="Arial Narrow"/>
                          <w:b/>
                        </w:rPr>
                        <w:t>Hindamiskomisjoni otsus</w:t>
                      </w:r>
                    </w:p>
                    <w:p w14:paraId="36EDEBCA" w14:textId="768F0AAD" w:rsidR="00E11AD1" w:rsidRPr="00CF2D88" w:rsidRDefault="00E11AD1" w:rsidP="00D2527E">
                      <w:pPr>
                        <w:spacing w:before="0" w:after="0"/>
                        <w:rPr>
                          <w:rFonts w:ascii="Times New Roman" w:hAnsi="Times New Roman"/>
                        </w:rPr>
                      </w:pPr>
                      <w:r>
                        <w:rPr>
                          <w:rFonts w:ascii="Arial Narrow" w:hAnsi="Arial Narrow"/>
                        </w:rPr>
                        <w:t>E</w:t>
                      </w:r>
                      <w:r w:rsidRPr="00631341">
                        <w:rPr>
                          <w:rFonts w:ascii="Arial Narrow" w:hAnsi="Arial Narrow"/>
                        </w:rPr>
                        <w:t xml:space="preserve">ttepanekuid rahastatakse lävendi ületanud projektide hindamistulemuste põhjal ja meetme </w:t>
                      </w:r>
                      <w:r>
                        <w:rPr>
                          <w:rFonts w:ascii="Arial Narrow" w:hAnsi="Arial Narrow"/>
                        </w:rPr>
                        <w:t xml:space="preserve">tegevuse </w:t>
                      </w:r>
                      <w:r w:rsidRPr="00631341">
                        <w:rPr>
                          <w:rFonts w:ascii="Arial Narrow" w:hAnsi="Arial Narrow"/>
                        </w:rPr>
                        <w:t xml:space="preserve">eelarve piires. </w:t>
                      </w:r>
                      <w:r>
                        <w:rPr>
                          <w:rFonts w:ascii="Arial Narrow" w:hAnsi="Arial Narrow"/>
                        </w:rPr>
                        <w:t>H</w:t>
                      </w:r>
                      <w:r w:rsidRPr="00631341">
                        <w:rPr>
                          <w:rFonts w:ascii="Arial Narrow" w:hAnsi="Arial Narrow"/>
                        </w:rPr>
                        <w:t>indamiskomisjon teeb otsused hindepunktidest ja läbirääkimiste tulemustest lähtudes.</w:t>
                      </w:r>
                    </w:p>
                  </w:txbxContent>
                </v:textbox>
                <w10:wrap anchorx="margin"/>
              </v:rect>
            </w:pict>
          </mc:Fallback>
        </mc:AlternateContent>
      </w:r>
      <w:r w:rsidRPr="00A245DA">
        <w:rPr>
          <w:rFonts w:ascii="Times New Roman" w:eastAsia="Calibri" w:hAnsi="Times New Roman" w:cs="Times New Roman"/>
          <w:b/>
          <w:noProof/>
          <w:lang w:eastAsia="et-EE"/>
        </w:rPr>
        <mc:AlternateContent>
          <mc:Choice Requires="wps">
            <w:drawing>
              <wp:anchor distT="0" distB="0" distL="114300" distR="114300" simplePos="0" relativeHeight="251666432" behindDoc="0" locked="0" layoutInCell="1" allowOverlap="1" wp14:anchorId="43522563" wp14:editId="41710D8C">
                <wp:simplePos x="0" y="0"/>
                <wp:positionH relativeFrom="margin">
                  <wp:posOffset>3042920</wp:posOffset>
                </wp:positionH>
                <wp:positionV relativeFrom="paragraph">
                  <wp:posOffset>2881630</wp:posOffset>
                </wp:positionV>
                <wp:extent cx="0" cy="275590"/>
                <wp:effectExtent l="133350" t="0" r="57150" b="48260"/>
                <wp:wrapNone/>
                <wp:docPr id="25" name="Sirge noolkonnektor 25"/>
                <wp:cNvGraphicFramePr/>
                <a:graphic xmlns:a="http://schemas.openxmlformats.org/drawingml/2006/main">
                  <a:graphicData uri="http://schemas.microsoft.com/office/word/2010/wordprocessingShape">
                    <wps:wsp>
                      <wps:cNvCnPr/>
                      <wps:spPr>
                        <a:xfrm>
                          <a:off x="0" y="0"/>
                          <a:ext cx="0" cy="275590"/>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288248C" id="Sirge noolkonnektor 25" o:spid="_x0000_s1026" type="#_x0000_t32" style="position:absolute;margin-left:239.6pt;margin-top:226.9pt;width:0;height:21.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" strokecolor="#4a7ebb" strokeweight="3pt">
                <v:stroke endarrow="open"/>
                <w10:wrap anchorx="margin"/>
              </v:shape>
            </w:pict>
          </mc:Fallback>
        </mc:AlternateContent>
      </w:r>
      <w:r w:rsidRPr="00A245DA">
        <w:rPr>
          <w:rFonts w:ascii="Times New Roman" w:eastAsia="Calibri" w:hAnsi="Times New Roman" w:cs="Times New Roman"/>
          <w:b/>
          <w:noProof/>
          <w:lang w:eastAsia="et-EE"/>
        </w:rPr>
        <mc:AlternateContent>
          <mc:Choice Requires="wps">
            <w:drawing>
              <wp:anchor distT="0" distB="0" distL="114300" distR="114300" simplePos="0" relativeHeight="251669504" behindDoc="0" locked="0" layoutInCell="1" allowOverlap="1" wp14:anchorId="292191BF" wp14:editId="07E116B8">
                <wp:simplePos x="0" y="0"/>
                <wp:positionH relativeFrom="margin">
                  <wp:posOffset>3018155</wp:posOffset>
                </wp:positionH>
                <wp:positionV relativeFrom="paragraph">
                  <wp:posOffset>4220210</wp:posOffset>
                </wp:positionV>
                <wp:extent cx="0" cy="275590"/>
                <wp:effectExtent l="133350" t="0" r="57150" b="48260"/>
                <wp:wrapNone/>
                <wp:docPr id="26" name="Sirge noolkonnektor 26"/>
                <wp:cNvGraphicFramePr/>
                <a:graphic xmlns:a="http://schemas.openxmlformats.org/drawingml/2006/main">
                  <a:graphicData uri="http://schemas.microsoft.com/office/word/2010/wordprocessingShape">
                    <wps:wsp>
                      <wps:cNvCnPr/>
                      <wps:spPr>
                        <a:xfrm>
                          <a:off x="0" y="0"/>
                          <a:ext cx="0" cy="275590"/>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C3373E8" id="Sirge noolkonnektor 26" o:spid="_x0000_s1026" type="#_x0000_t32" style="position:absolute;margin-left:237.65pt;margin-top:332.3pt;width:0;height:21.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" strokecolor="#4a7ebb" strokeweight="3pt">
                <v:stroke endarrow="open"/>
                <w10:wrap anchorx="margin"/>
              </v:shape>
            </w:pict>
          </mc:Fallback>
        </mc:AlternateContent>
      </w:r>
      <w:r w:rsidRPr="00A245DA">
        <w:rPr>
          <w:rFonts w:ascii="Times New Roman" w:eastAsia="Calibri" w:hAnsi="Times New Roman" w:cs="Times New Roman"/>
          <w:b/>
          <w:noProof/>
          <w:lang w:eastAsia="et-EE"/>
        </w:rPr>
        <mc:AlternateContent>
          <mc:Choice Requires="wps">
            <w:drawing>
              <wp:anchor distT="0" distB="0" distL="114300" distR="114300" simplePos="0" relativeHeight="251672576" behindDoc="0" locked="0" layoutInCell="1" allowOverlap="1" wp14:anchorId="61314B83" wp14:editId="3B2AC30C">
                <wp:simplePos x="0" y="0"/>
                <wp:positionH relativeFrom="margin">
                  <wp:posOffset>695325</wp:posOffset>
                </wp:positionH>
                <wp:positionV relativeFrom="paragraph">
                  <wp:posOffset>2286000</wp:posOffset>
                </wp:positionV>
                <wp:extent cx="581025" cy="1215390"/>
                <wp:effectExtent l="19050" t="19050" r="85725" b="41910"/>
                <wp:wrapNone/>
                <wp:docPr id="28" name="Sirge noolkonnektor 28"/>
                <wp:cNvGraphicFramePr/>
                <a:graphic xmlns:a="http://schemas.openxmlformats.org/drawingml/2006/main">
                  <a:graphicData uri="http://schemas.microsoft.com/office/word/2010/wordprocessingShape">
                    <wps:wsp>
                      <wps:cNvCnPr/>
                      <wps:spPr>
                        <a:xfrm>
                          <a:off x="0" y="0"/>
                          <a:ext cx="581025" cy="1215390"/>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C0A55FF" id="Sirge noolkonnektor 28" o:spid="_x0000_s1026" type="#_x0000_t32" style="position:absolute;margin-left:54.75pt;margin-top:180pt;width:45.75pt;height:95.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" strokecolor="#4a7ebb" strokeweight="3pt">
                <v:stroke endarrow="open"/>
                <w10:wrap anchorx="margin"/>
              </v:shape>
            </w:pict>
          </mc:Fallback>
        </mc:AlternateContent>
      </w:r>
      <w:r w:rsidRPr="00A245DA">
        <w:rPr>
          <w:rFonts w:ascii="Times New Roman" w:eastAsia="Calibri" w:hAnsi="Times New Roman" w:cs="Times New Roman"/>
          <w:b/>
          <w:noProof/>
          <w:lang w:eastAsia="et-EE"/>
        </w:rPr>
        <mc:AlternateContent>
          <mc:Choice Requires="wps">
            <w:drawing>
              <wp:anchor distT="0" distB="0" distL="114300" distR="114300" simplePos="0" relativeHeight="251675648" behindDoc="0" locked="0" layoutInCell="1" allowOverlap="1" wp14:anchorId="728970C2" wp14:editId="2521E504">
                <wp:simplePos x="0" y="0"/>
                <wp:positionH relativeFrom="margin">
                  <wp:posOffset>5738495</wp:posOffset>
                </wp:positionH>
                <wp:positionV relativeFrom="paragraph">
                  <wp:posOffset>2247265</wp:posOffset>
                </wp:positionV>
                <wp:extent cx="0" cy="2294626"/>
                <wp:effectExtent l="133350" t="0" r="133350" b="48895"/>
                <wp:wrapNone/>
                <wp:docPr id="29" name="Sirge noolkonnektor 29"/>
                <wp:cNvGraphicFramePr/>
                <a:graphic xmlns:a="http://schemas.openxmlformats.org/drawingml/2006/main">
                  <a:graphicData uri="http://schemas.microsoft.com/office/word/2010/wordprocessingShape">
                    <wps:wsp>
                      <wps:cNvCnPr/>
                      <wps:spPr>
                        <a:xfrm>
                          <a:off x="0" y="0"/>
                          <a:ext cx="0" cy="2294626"/>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CFB2B9D" id="Sirge noolkonnektor 29" o:spid="_x0000_s1026" type="#_x0000_t32" style="position:absolute;margin-left:451.85pt;margin-top:176.95pt;width:0;height:180.7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" strokecolor="#4a7ebb" strokeweight="3pt">
                <v:stroke endarrow="open"/>
                <w10:wrap anchorx="margin"/>
              </v:shape>
            </w:pict>
          </mc:Fallback>
        </mc:AlternateContent>
      </w:r>
    </w:p>
    <w:p w14:paraId="61AB38D9" w14:textId="691FF1DD" w:rsidR="003C135F" w:rsidRPr="00A245DA" w:rsidRDefault="00B04F65" w:rsidP="008A46E1">
      <w:pPr>
        <w:spacing w:after="100" w:afterAutospacing="1"/>
        <w:ind w:left="426" w:hanging="426"/>
        <w:rPr>
          <w:rFonts w:ascii="Times New Roman" w:eastAsia="Calibri" w:hAnsi="Times New Roman"/>
          <w:b/>
          <w:highlight w:val="lightGray"/>
          <w:lang w:eastAsia="et-EE"/>
        </w:rPr>
      </w:pPr>
      <w:r w:rsidRPr="00A245DA">
        <w:rPr>
          <w:rFonts w:ascii="Times New Roman" w:eastAsia="Calibri" w:hAnsi="Times New Roman"/>
          <w:b/>
          <w:noProof/>
          <w:lang w:eastAsia="et-EE"/>
        </w:rPr>
        <mc:AlternateContent>
          <mc:Choice Requires="wps">
            <w:drawing>
              <wp:anchor distT="0" distB="0" distL="114300" distR="114300" simplePos="0" relativeHeight="251641856" behindDoc="0" locked="0" layoutInCell="1" allowOverlap="1" wp14:anchorId="0D231E6E" wp14:editId="3D4ADAA4">
                <wp:simplePos x="0" y="0"/>
                <wp:positionH relativeFrom="column">
                  <wp:posOffset>866140</wp:posOffset>
                </wp:positionH>
                <wp:positionV relativeFrom="paragraph">
                  <wp:posOffset>447675</wp:posOffset>
                </wp:positionV>
                <wp:extent cx="4867275" cy="971550"/>
                <wp:effectExtent l="0" t="0" r="28575" b="19050"/>
                <wp:wrapNone/>
                <wp:docPr id="6" name="Tekstiväli 6"/>
                <wp:cNvGraphicFramePr/>
                <a:graphic xmlns:a="http://schemas.openxmlformats.org/drawingml/2006/main">
                  <a:graphicData uri="http://schemas.microsoft.com/office/word/2010/wordprocessingShape">
                    <wps:wsp>
                      <wps:cNvSpPr txBox="1"/>
                      <wps:spPr>
                        <a:xfrm>
                          <a:off x="0" y="0"/>
                          <a:ext cx="4867275" cy="971550"/>
                        </a:xfrm>
                        <a:prstGeom prst="rect">
                          <a:avLst/>
                        </a:prstGeom>
                        <a:solidFill>
                          <a:sysClr val="window" lastClr="FFFFFF"/>
                        </a:solidFill>
                        <a:ln w="6350">
                          <a:solidFill>
                            <a:prstClr val="black"/>
                          </a:solidFill>
                        </a:ln>
                        <a:effectLst/>
                      </wps:spPr>
                      <wps:txbx>
                        <w:txbxContent>
                          <w:p w14:paraId="30A4F8E7" w14:textId="77777777" w:rsidR="00E11AD1" w:rsidRPr="00465F57" w:rsidRDefault="00E11AD1" w:rsidP="00D2527E">
                            <w:pPr>
                              <w:pStyle w:val="western"/>
                              <w:spacing w:before="0" w:beforeAutospacing="0" w:after="0"/>
                              <w:rPr>
                                <w:rFonts w:ascii="Arial Narrow" w:hAnsi="Arial Narrow"/>
                                <w:b/>
                                <w:sz w:val="22"/>
                                <w:szCs w:val="22"/>
                              </w:rPr>
                            </w:pPr>
                            <w:r w:rsidRPr="00465F57">
                              <w:rPr>
                                <w:rFonts w:ascii="Arial Narrow" w:hAnsi="Arial Narrow"/>
                                <w:sz w:val="22"/>
                                <w:szCs w:val="22"/>
                              </w:rPr>
                              <w:t xml:space="preserve">Hindamiskomisjon </w:t>
                            </w:r>
                            <w:r w:rsidRPr="00465F57">
                              <w:rPr>
                                <w:rFonts w:ascii="Arial Narrow" w:hAnsi="Arial Narrow"/>
                                <w:b/>
                                <w:sz w:val="22"/>
                                <w:szCs w:val="22"/>
                              </w:rPr>
                              <w:t>hindab vastavalt hindamiskriteeriumitele.</w:t>
                            </w:r>
                          </w:p>
                          <w:p w14:paraId="43ED8B30" w14:textId="53136075" w:rsidR="00E11AD1" w:rsidRPr="00465F57" w:rsidRDefault="00E11AD1" w:rsidP="00D2527E">
                            <w:pPr>
                              <w:pStyle w:val="western"/>
                              <w:spacing w:before="0" w:beforeAutospacing="0" w:after="0"/>
                              <w:rPr>
                                <w:rFonts w:ascii="Arial Narrow" w:hAnsi="Arial Narrow"/>
                                <w:b/>
                                <w:sz w:val="22"/>
                                <w:szCs w:val="22"/>
                              </w:rPr>
                            </w:pPr>
                            <w:r w:rsidRPr="00465F57">
                              <w:rPr>
                                <w:rFonts w:ascii="Arial Narrow" w:hAnsi="Arial Narrow"/>
                                <w:sz w:val="22"/>
                                <w:szCs w:val="22"/>
                              </w:rPr>
                              <w:t xml:space="preserve">Teadus- ja õppehoonete </w:t>
                            </w:r>
                            <w:r>
                              <w:rPr>
                                <w:rFonts w:ascii="Arial Narrow" w:hAnsi="Arial Narrow"/>
                                <w:sz w:val="22"/>
                                <w:szCs w:val="22"/>
                              </w:rPr>
                              <w:t>rajamise</w:t>
                            </w:r>
                            <w:r w:rsidRPr="00465F57">
                              <w:rPr>
                                <w:rFonts w:ascii="Arial Narrow" w:hAnsi="Arial Narrow"/>
                                <w:sz w:val="22"/>
                                <w:szCs w:val="22"/>
                              </w:rPr>
                              <w:t xml:space="preserve"> ja sisutegevuste osa hinnatakse eraldi.</w:t>
                            </w:r>
                          </w:p>
                          <w:p w14:paraId="0B017F0A" w14:textId="68BEBDE8" w:rsidR="00E11AD1" w:rsidRPr="00465F57" w:rsidRDefault="00E11AD1" w:rsidP="00D2527E">
                            <w:pPr>
                              <w:pStyle w:val="western"/>
                              <w:spacing w:before="0" w:beforeAutospacing="0" w:after="0"/>
                              <w:rPr>
                                <w:rFonts w:ascii="Arial Narrow" w:hAnsi="Arial Narrow"/>
                                <w:b/>
                                <w:sz w:val="22"/>
                                <w:szCs w:val="22"/>
                              </w:rPr>
                            </w:pPr>
                            <w:r w:rsidRPr="00465F57">
                              <w:rPr>
                                <w:rFonts w:ascii="Arial Narrow" w:hAnsi="Arial Narrow"/>
                                <w:sz w:val="22"/>
                                <w:szCs w:val="22"/>
                              </w:rPr>
                              <w:t xml:space="preserve">Lävendi ületanud </w:t>
                            </w:r>
                            <w:r>
                              <w:rPr>
                                <w:rFonts w:ascii="Arial Narrow" w:hAnsi="Arial Narrow"/>
                                <w:sz w:val="22"/>
                                <w:szCs w:val="22"/>
                              </w:rPr>
                              <w:t>ettepanekute nimekiri</w:t>
                            </w:r>
                            <w:r w:rsidRPr="00465F57">
                              <w:rPr>
                                <w:rFonts w:ascii="Arial Narrow" w:hAnsi="Arial Narrow"/>
                                <w:sz w:val="22"/>
                                <w:szCs w:val="22"/>
                              </w:rPr>
                              <w:t xml:space="preserve"> on aluseks läbirääkimistele, mida hindamiskomisjon peab taotlejatega täpsemate rahastamise tingimuste ja toetussummade osas.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31E6E" id="Tekstiväli 6" o:spid="_x0000_s1031" type="#_x0000_t202" style="position:absolute;left:0;text-align:left;margin-left:68.2pt;margin-top:35.25pt;width:383.25pt;height:7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" fillcolor="window" strokeweight=".5pt">
                <v:textbox>
                  <w:txbxContent>
                    <w:p w14:paraId="30A4F8E7" w14:textId="77777777" w:rsidR="00E11AD1" w:rsidRPr="00465F57" w:rsidRDefault="00E11AD1" w:rsidP="00D2527E">
                      <w:pPr>
                        <w:pStyle w:val="western"/>
                        <w:spacing w:before="0" w:beforeAutospacing="0" w:after="0"/>
                        <w:rPr>
                          <w:rFonts w:ascii="Arial Narrow" w:hAnsi="Arial Narrow"/>
                          <w:b/>
                          <w:sz w:val="22"/>
                          <w:szCs w:val="22"/>
                        </w:rPr>
                      </w:pPr>
                      <w:r w:rsidRPr="00465F57">
                        <w:rPr>
                          <w:rFonts w:ascii="Arial Narrow" w:hAnsi="Arial Narrow"/>
                          <w:sz w:val="22"/>
                          <w:szCs w:val="22"/>
                        </w:rPr>
                        <w:t xml:space="preserve">Hindamiskomisjon </w:t>
                      </w:r>
                      <w:r w:rsidRPr="00465F57">
                        <w:rPr>
                          <w:rFonts w:ascii="Arial Narrow" w:hAnsi="Arial Narrow"/>
                          <w:b/>
                          <w:sz w:val="22"/>
                          <w:szCs w:val="22"/>
                        </w:rPr>
                        <w:t>hindab vastavalt hindamiskriteeriumitele.</w:t>
                      </w:r>
                    </w:p>
                    <w:p w14:paraId="43ED8B30" w14:textId="53136075" w:rsidR="00E11AD1" w:rsidRPr="00465F57" w:rsidRDefault="00E11AD1" w:rsidP="00D2527E">
                      <w:pPr>
                        <w:pStyle w:val="western"/>
                        <w:spacing w:before="0" w:beforeAutospacing="0" w:after="0"/>
                        <w:rPr>
                          <w:rFonts w:ascii="Arial Narrow" w:hAnsi="Arial Narrow"/>
                          <w:b/>
                          <w:sz w:val="22"/>
                          <w:szCs w:val="22"/>
                        </w:rPr>
                      </w:pPr>
                      <w:r w:rsidRPr="00465F57">
                        <w:rPr>
                          <w:rFonts w:ascii="Arial Narrow" w:hAnsi="Arial Narrow"/>
                          <w:sz w:val="22"/>
                          <w:szCs w:val="22"/>
                        </w:rPr>
                        <w:t xml:space="preserve">Teadus- ja õppehoonete </w:t>
                      </w:r>
                      <w:r>
                        <w:rPr>
                          <w:rFonts w:ascii="Arial Narrow" w:hAnsi="Arial Narrow"/>
                          <w:sz w:val="22"/>
                          <w:szCs w:val="22"/>
                        </w:rPr>
                        <w:t>rajamise</w:t>
                      </w:r>
                      <w:r w:rsidRPr="00465F57">
                        <w:rPr>
                          <w:rFonts w:ascii="Arial Narrow" w:hAnsi="Arial Narrow"/>
                          <w:sz w:val="22"/>
                          <w:szCs w:val="22"/>
                        </w:rPr>
                        <w:t xml:space="preserve"> ja sisutegevuste osa hinnatakse eraldi.</w:t>
                      </w:r>
                    </w:p>
                    <w:p w14:paraId="0B017F0A" w14:textId="68BEBDE8" w:rsidR="00E11AD1" w:rsidRPr="00465F57" w:rsidRDefault="00E11AD1" w:rsidP="00D2527E">
                      <w:pPr>
                        <w:pStyle w:val="western"/>
                        <w:spacing w:before="0" w:beforeAutospacing="0" w:after="0"/>
                        <w:rPr>
                          <w:rFonts w:ascii="Arial Narrow" w:hAnsi="Arial Narrow"/>
                          <w:b/>
                          <w:sz w:val="22"/>
                          <w:szCs w:val="22"/>
                        </w:rPr>
                      </w:pPr>
                      <w:r w:rsidRPr="00465F57">
                        <w:rPr>
                          <w:rFonts w:ascii="Arial Narrow" w:hAnsi="Arial Narrow"/>
                          <w:sz w:val="22"/>
                          <w:szCs w:val="22"/>
                        </w:rPr>
                        <w:t xml:space="preserve">Lävendi ületanud </w:t>
                      </w:r>
                      <w:r>
                        <w:rPr>
                          <w:rFonts w:ascii="Arial Narrow" w:hAnsi="Arial Narrow"/>
                          <w:sz w:val="22"/>
                          <w:szCs w:val="22"/>
                        </w:rPr>
                        <w:t>ettepanekute nimekiri</w:t>
                      </w:r>
                      <w:r w:rsidRPr="00465F57">
                        <w:rPr>
                          <w:rFonts w:ascii="Arial Narrow" w:hAnsi="Arial Narrow"/>
                          <w:sz w:val="22"/>
                          <w:szCs w:val="22"/>
                        </w:rPr>
                        <w:t xml:space="preserve"> on aluseks läbirääkimistele, mida hindamiskomisjon peab taotlejatega täpsemate rahastamise tingimuste ja toetussummade osas.</w:t>
                      </w:r>
                    </w:p>
                  </w:txbxContent>
                </v:textbox>
              </v:shape>
            </w:pict>
          </mc:Fallback>
        </mc:AlternateContent>
      </w:r>
    </w:p>
    <w:p w14:paraId="00B0C895" w14:textId="77777777" w:rsidR="003C135F" w:rsidRPr="00A245DA" w:rsidRDefault="003C135F" w:rsidP="008A46E1">
      <w:pPr>
        <w:spacing w:after="100" w:afterAutospacing="1"/>
        <w:ind w:left="426" w:hanging="426"/>
        <w:rPr>
          <w:rFonts w:ascii="Times New Roman" w:eastAsia="Calibri" w:hAnsi="Times New Roman"/>
          <w:b/>
          <w:highlight w:val="lightGray"/>
          <w:lang w:eastAsia="et-EE"/>
        </w:rPr>
      </w:pPr>
    </w:p>
    <w:p w14:paraId="5E1CB8B1" w14:textId="59BC6437" w:rsidR="008A46E1" w:rsidRPr="00A245DA" w:rsidRDefault="008A46E1" w:rsidP="008A46E1">
      <w:pPr>
        <w:pStyle w:val="NoSpacing"/>
        <w:rPr>
          <w:rFonts w:ascii="Times New Roman" w:hAnsi="Times New Roman" w:cs="Times New Roman"/>
        </w:rPr>
      </w:pPr>
    </w:p>
    <w:p w14:paraId="0EE658F6" w14:textId="77777777" w:rsidR="008A46E1" w:rsidRPr="00A245DA" w:rsidRDefault="008A46E1" w:rsidP="00D8377C">
      <w:pPr>
        <w:pStyle w:val="NoSpacing"/>
        <w:rPr>
          <w:rFonts w:ascii="Times New Roman" w:hAnsi="Times New Roman" w:cs="Times New Roman"/>
        </w:rPr>
      </w:pPr>
    </w:p>
    <w:p w14:paraId="35EF961B" w14:textId="77777777" w:rsidR="008A46E1" w:rsidRPr="00A245DA" w:rsidRDefault="008A46E1" w:rsidP="00D8377C">
      <w:pPr>
        <w:pStyle w:val="NoSpacing"/>
        <w:rPr>
          <w:rFonts w:ascii="Times New Roman" w:hAnsi="Times New Roman" w:cs="Times New Roman"/>
        </w:rPr>
      </w:pPr>
    </w:p>
    <w:p w14:paraId="435E6140" w14:textId="379E23EA" w:rsidR="008A46E1" w:rsidRPr="00A245DA" w:rsidRDefault="00C8465E" w:rsidP="00D8377C">
      <w:pPr>
        <w:pStyle w:val="NoSpacing"/>
        <w:rPr>
          <w:rFonts w:ascii="Times New Roman" w:hAnsi="Times New Roman" w:cs="Times New Roman"/>
        </w:rPr>
      </w:pPr>
      <w:r w:rsidRPr="00A245DA">
        <w:rPr>
          <w:rFonts w:ascii="Times New Roman" w:eastAsia="Calibri" w:hAnsi="Times New Roman" w:cs="Times New Roman"/>
          <w:b/>
          <w:noProof/>
          <w:lang w:eastAsia="et-EE"/>
        </w:rPr>
        <mc:AlternateContent>
          <mc:Choice Requires="wps">
            <w:drawing>
              <wp:anchor distT="0" distB="0" distL="114300" distR="114300" simplePos="0" relativeHeight="251658256" behindDoc="0" locked="0" layoutInCell="1" allowOverlap="1" wp14:anchorId="7D33D3D8" wp14:editId="4AC047E9">
                <wp:simplePos x="0" y="0"/>
                <wp:positionH relativeFrom="column">
                  <wp:posOffset>4937125</wp:posOffset>
                </wp:positionH>
                <wp:positionV relativeFrom="paragraph">
                  <wp:posOffset>50165</wp:posOffset>
                </wp:positionV>
                <wp:extent cx="1318260" cy="638175"/>
                <wp:effectExtent l="0" t="0" r="15240" b="28575"/>
                <wp:wrapNone/>
                <wp:docPr id="20" name="Tekstiväli 20"/>
                <wp:cNvGraphicFramePr/>
                <a:graphic xmlns:a="http://schemas.openxmlformats.org/drawingml/2006/main">
                  <a:graphicData uri="http://schemas.microsoft.com/office/word/2010/wordprocessingShape">
                    <wps:wsp>
                      <wps:cNvSpPr txBox="1"/>
                      <wps:spPr>
                        <a:xfrm>
                          <a:off x="0" y="0"/>
                          <a:ext cx="1318260" cy="638175"/>
                        </a:xfrm>
                        <a:prstGeom prst="rect">
                          <a:avLst/>
                        </a:prstGeom>
                        <a:solidFill>
                          <a:sysClr val="window" lastClr="FFFFFF"/>
                        </a:solidFill>
                        <a:ln w="25400" cap="flat" cmpd="sng" algn="ctr">
                          <a:solidFill>
                            <a:srgbClr val="4F81BD"/>
                          </a:solidFill>
                          <a:prstDash val="solid"/>
                        </a:ln>
                        <a:effectLst/>
                      </wps:spPr>
                      <wps:txbx>
                        <w:txbxContent>
                          <w:p w14:paraId="7CDE82E3" w14:textId="7051577E" w:rsidR="00E11AD1" w:rsidRPr="00631341" w:rsidRDefault="00E11AD1" w:rsidP="00D2527E">
                            <w:pPr>
                              <w:spacing w:before="0" w:after="0"/>
                              <w:rPr>
                                <w:rFonts w:ascii="Arial Narrow" w:hAnsi="Arial Narrow"/>
                                <w:b/>
                              </w:rPr>
                            </w:pPr>
                            <w:r>
                              <w:rPr>
                                <w:rFonts w:ascii="Arial Narrow" w:hAnsi="Arial Narrow"/>
                              </w:rPr>
                              <w:t>Ettepanekud</w:t>
                            </w:r>
                            <w:r w:rsidRPr="00631341">
                              <w:rPr>
                                <w:rFonts w:ascii="Arial Narrow" w:hAnsi="Arial Narrow"/>
                              </w:rPr>
                              <w:t xml:space="preserve">, mis ei ületa lävendit, </w:t>
                            </w:r>
                            <w:r w:rsidRPr="00631341">
                              <w:rPr>
                                <w:rFonts w:ascii="Arial Narrow" w:hAnsi="Arial Narrow"/>
                                <w:b/>
                              </w:rPr>
                              <w:t>jäävad rahastuseta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3D3D8" id="Tekstiväli 20" o:spid="_x0000_s1032" type="#_x0000_t202" style="position:absolute;margin-left:388.75pt;margin-top:3.95pt;width:103.8pt;height:50.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" fillcolor="window" strokecolor="#4f81bd" strokeweight="2pt">
                <v:textbox>
                  <w:txbxContent>
                    <w:p w14:paraId="7CDE82E3" w14:textId="7051577E" w:rsidR="00E11AD1" w:rsidRPr="00631341" w:rsidRDefault="00E11AD1" w:rsidP="00D2527E">
                      <w:pPr>
                        <w:spacing w:before="0" w:after="0"/>
                        <w:rPr>
                          <w:rFonts w:ascii="Arial Narrow" w:hAnsi="Arial Narrow"/>
                          <w:b/>
                        </w:rPr>
                      </w:pPr>
                      <w:r>
                        <w:rPr>
                          <w:rFonts w:ascii="Arial Narrow" w:hAnsi="Arial Narrow"/>
                        </w:rPr>
                        <w:t>Ettepanekud</w:t>
                      </w:r>
                      <w:r w:rsidRPr="00631341">
                        <w:rPr>
                          <w:rFonts w:ascii="Arial Narrow" w:hAnsi="Arial Narrow"/>
                        </w:rPr>
                        <w:t xml:space="preserve">, mis ei ületa lävendit, </w:t>
                      </w:r>
                      <w:r w:rsidRPr="00631341">
                        <w:rPr>
                          <w:rFonts w:ascii="Arial Narrow" w:hAnsi="Arial Narrow"/>
                          <w:b/>
                        </w:rPr>
                        <w:t>jäävad rahastuseta</w:t>
                      </w:r>
                    </w:p>
                  </w:txbxContent>
                </v:textbox>
              </v:shape>
            </w:pict>
          </mc:Fallback>
        </mc:AlternateContent>
      </w:r>
    </w:p>
    <w:p w14:paraId="16C5AD1E" w14:textId="77777777" w:rsidR="008A46E1" w:rsidRPr="00A245DA" w:rsidRDefault="008A46E1" w:rsidP="00D8377C">
      <w:pPr>
        <w:pStyle w:val="NoSpacing"/>
        <w:rPr>
          <w:rFonts w:ascii="Times New Roman" w:hAnsi="Times New Roman" w:cs="Times New Roman"/>
        </w:rPr>
      </w:pPr>
    </w:p>
    <w:p w14:paraId="388F1BB6" w14:textId="77777777" w:rsidR="008A46E1" w:rsidRPr="00A245DA" w:rsidRDefault="008A46E1" w:rsidP="00D8377C">
      <w:pPr>
        <w:pStyle w:val="NoSpacing"/>
        <w:rPr>
          <w:rFonts w:ascii="Times New Roman" w:hAnsi="Times New Roman" w:cs="Times New Roman"/>
        </w:rPr>
      </w:pPr>
    </w:p>
    <w:p w14:paraId="475FA234" w14:textId="77777777" w:rsidR="00D2527E" w:rsidRPr="00A245DA" w:rsidRDefault="00D2527E" w:rsidP="00D8377C">
      <w:pPr>
        <w:pStyle w:val="NoSpacing"/>
        <w:rPr>
          <w:rFonts w:ascii="Times New Roman" w:hAnsi="Times New Roman" w:cs="Times New Roman"/>
          <w:b/>
        </w:rPr>
      </w:pPr>
    </w:p>
    <w:p w14:paraId="3ADE8972" w14:textId="77777777" w:rsidR="00D2527E" w:rsidRPr="00A245DA" w:rsidRDefault="00D2527E" w:rsidP="00D8377C">
      <w:pPr>
        <w:pStyle w:val="NoSpacing"/>
        <w:rPr>
          <w:rFonts w:ascii="Times New Roman" w:hAnsi="Times New Roman" w:cs="Times New Roman"/>
          <w:b/>
        </w:rPr>
      </w:pPr>
    </w:p>
    <w:p w14:paraId="064BAB1E" w14:textId="77777777" w:rsidR="00D2527E" w:rsidRPr="00A245DA" w:rsidRDefault="00D2527E" w:rsidP="00D8377C">
      <w:pPr>
        <w:pStyle w:val="NoSpacing"/>
        <w:rPr>
          <w:rFonts w:ascii="Times New Roman" w:hAnsi="Times New Roman" w:cs="Times New Roman"/>
          <w:b/>
        </w:rPr>
      </w:pPr>
    </w:p>
    <w:p w14:paraId="1FF04311" w14:textId="77777777" w:rsidR="00D2527E" w:rsidRPr="00A245DA" w:rsidRDefault="00D2527E" w:rsidP="00D8377C">
      <w:pPr>
        <w:pStyle w:val="NoSpacing"/>
        <w:rPr>
          <w:rFonts w:ascii="Times New Roman" w:hAnsi="Times New Roman" w:cs="Times New Roman"/>
          <w:b/>
        </w:rPr>
      </w:pPr>
    </w:p>
    <w:p w14:paraId="5F499A3F" w14:textId="77777777" w:rsidR="00D2527E" w:rsidRPr="00A245DA" w:rsidRDefault="00D2527E" w:rsidP="00D8377C">
      <w:pPr>
        <w:pStyle w:val="NoSpacing"/>
        <w:rPr>
          <w:rFonts w:ascii="Times New Roman" w:hAnsi="Times New Roman" w:cs="Times New Roman"/>
          <w:b/>
        </w:rPr>
      </w:pPr>
    </w:p>
    <w:p w14:paraId="25AF5022" w14:textId="77777777" w:rsidR="00D2527E" w:rsidRPr="00A245DA" w:rsidRDefault="00D2527E" w:rsidP="00D8377C">
      <w:pPr>
        <w:pStyle w:val="NoSpacing"/>
        <w:rPr>
          <w:rFonts w:ascii="Times New Roman" w:hAnsi="Times New Roman" w:cs="Times New Roman"/>
          <w:b/>
        </w:rPr>
      </w:pPr>
    </w:p>
    <w:p w14:paraId="51A1FBBF" w14:textId="77777777" w:rsidR="00D2527E" w:rsidRPr="00A245DA" w:rsidRDefault="00D2527E" w:rsidP="00D8377C">
      <w:pPr>
        <w:pStyle w:val="NoSpacing"/>
        <w:rPr>
          <w:rFonts w:ascii="Times New Roman" w:hAnsi="Times New Roman" w:cs="Times New Roman"/>
          <w:b/>
        </w:rPr>
      </w:pPr>
    </w:p>
    <w:p w14:paraId="4E43AE98" w14:textId="77777777" w:rsidR="00D2527E" w:rsidRPr="00A245DA" w:rsidRDefault="00D2527E" w:rsidP="00D8377C">
      <w:pPr>
        <w:pStyle w:val="NoSpacing"/>
        <w:rPr>
          <w:rFonts w:ascii="Times New Roman" w:hAnsi="Times New Roman" w:cs="Times New Roman"/>
          <w:b/>
        </w:rPr>
      </w:pPr>
    </w:p>
    <w:p w14:paraId="158DDFC1" w14:textId="77777777" w:rsidR="00D2527E" w:rsidRPr="00A245DA" w:rsidRDefault="00D2527E" w:rsidP="00D8377C">
      <w:pPr>
        <w:pStyle w:val="NoSpacing"/>
        <w:rPr>
          <w:rFonts w:ascii="Times New Roman" w:hAnsi="Times New Roman" w:cs="Times New Roman"/>
          <w:b/>
        </w:rPr>
      </w:pPr>
    </w:p>
    <w:p w14:paraId="7ECD9D1E" w14:textId="77777777" w:rsidR="00D2527E" w:rsidRPr="00A245DA" w:rsidRDefault="00D2527E" w:rsidP="00D8377C">
      <w:pPr>
        <w:pStyle w:val="NoSpacing"/>
        <w:rPr>
          <w:rFonts w:ascii="Times New Roman" w:hAnsi="Times New Roman" w:cs="Times New Roman"/>
          <w:b/>
        </w:rPr>
      </w:pPr>
    </w:p>
    <w:p w14:paraId="311175F8" w14:textId="77777777" w:rsidR="00D2527E" w:rsidRPr="00A245DA" w:rsidRDefault="00D2527E" w:rsidP="00D8377C">
      <w:pPr>
        <w:pStyle w:val="NoSpacing"/>
        <w:rPr>
          <w:rFonts w:ascii="Times New Roman" w:hAnsi="Times New Roman" w:cs="Times New Roman"/>
          <w:b/>
        </w:rPr>
      </w:pPr>
    </w:p>
    <w:p w14:paraId="05E77E7E" w14:textId="77777777" w:rsidR="00D2527E" w:rsidRPr="00A245DA" w:rsidRDefault="00D2527E" w:rsidP="00D8377C">
      <w:pPr>
        <w:pStyle w:val="NoSpacing"/>
        <w:rPr>
          <w:rFonts w:ascii="Times New Roman" w:hAnsi="Times New Roman" w:cs="Times New Roman"/>
          <w:b/>
        </w:rPr>
      </w:pPr>
    </w:p>
    <w:p w14:paraId="1CEC619F" w14:textId="77777777" w:rsidR="00D2527E" w:rsidRPr="00A245DA" w:rsidRDefault="00D2527E" w:rsidP="00D8377C">
      <w:pPr>
        <w:pStyle w:val="NoSpacing"/>
        <w:rPr>
          <w:rFonts w:ascii="Times New Roman" w:hAnsi="Times New Roman" w:cs="Times New Roman"/>
          <w:b/>
        </w:rPr>
      </w:pPr>
    </w:p>
    <w:p w14:paraId="3369CCEE" w14:textId="7C7EF608" w:rsidR="00D2527E" w:rsidRPr="00A245DA" w:rsidRDefault="007D2082" w:rsidP="00D8377C">
      <w:pPr>
        <w:pStyle w:val="NoSpacing"/>
        <w:rPr>
          <w:rFonts w:ascii="Times New Roman" w:hAnsi="Times New Roman" w:cs="Times New Roman"/>
          <w:b/>
        </w:rPr>
      </w:pPr>
      <w:r w:rsidRPr="00A245DA">
        <w:rPr>
          <w:rFonts w:ascii="Times New Roman" w:eastAsia="Calibri" w:hAnsi="Times New Roman" w:cs="Times New Roman"/>
          <w:b/>
          <w:noProof/>
          <w:lang w:eastAsia="et-EE"/>
        </w:rPr>
        <mc:AlternateContent>
          <mc:Choice Requires="wps">
            <w:drawing>
              <wp:anchor distT="0" distB="0" distL="114300" distR="114300" simplePos="0" relativeHeight="251658243" behindDoc="0" locked="0" layoutInCell="1" allowOverlap="1" wp14:anchorId="39B3A7CE" wp14:editId="0F7C6959">
                <wp:simplePos x="0" y="0"/>
                <wp:positionH relativeFrom="margin">
                  <wp:posOffset>1290955</wp:posOffset>
                </wp:positionH>
                <wp:positionV relativeFrom="paragraph">
                  <wp:posOffset>143510</wp:posOffset>
                </wp:positionV>
                <wp:extent cx="3733800" cy="1219200"/>
                <wp:effectExtent l="0" t="0" r="19050" b="19050"/>
                <wp:wrapNone/>
                <wp:docPr id="9" name="Tekstiväli 9"/>
                <wp:cNvGraphicFramePr/>
                <a:graphic xmlns:a="http://schemas.openxmlformats.org/drawingml/2006/main">
                  <a:graphicData uri="http://schemas.microsoft.com/office/word/2010/wordprocessingShape">
                    <wps:wsp>
                      <wps:cNvSpPr txBox="1"/>
                      <wps:spPr>
                        <a:xfrm>
                          <a:off x="0" y="0"/>
                          <a:ext cx="3733800" cy="1219200"/>
                        </a:xfrm>
                        <a:prstGeom prst="rect">
                          <a:avLst/>
                        </a:prstGeom>
                        <a:solidFill>
                          <a:sysClr val="window" lastClr="FFFFFF"/>
                        </a:solidFill>
                        <a:ln w="6350">
                          <a:solidFill>
                            <a:prstClr val="black"/>
                          </a:solidFill>
                        </a:ln>
                        <a:effectLst/>
                      </wps:spPr>
                      <wps:txbx>
                        <w:txbxContent>
                          <w:p w14:paraId="6D5A9250" w14:textId="46706D9F" w:rsidR="00E11AD1" w:rsidRPr="00631341" w:rsidRDefault="00E11AD1" w:rsidP="00D2527E">
                            <w:pPr>
                              <w:spacing w:before="0" w:after="0"/>
                              <w:jc w:val="center"/>
                              <w:rPr>
                                <w:rFonts w:ascii="Arial Narrow" w:hAnsi="Arial Narrow"/>
                                <w:b/>
                              </w:rPr>
                            </w:pPr>
                            <w:r w:rsidRPr="00631341">
                              <w:rPr>
                                <w:rFonts w:ascii="Arial Narrow" w:hAnsi="Arial Narrow"/>
                                <w:b/>
                              </w:rPr>
                              <w:t xml:space="preserve">Investeeringute kava </w:t>
                            </w:r>
                            <w:r>
                              <w:rPr>
                                <w:rFonts w:ascii="Arial Narrow" w:hAnsi="Arial Narrow"/>
                                <w:b/>
                              </w:rPr>
                              <w:t xml:space="preserve">eelnõu </w:t>
                            </w:r>
                            <w:r w:rsidRPr="00631341">
                              <w:rPr>
                                <w:rFonts w:ascii="Arial Narrow" w:hAnsi="Arial Narrow"/>
                                <w:b/>
                              </w:rPr>
                              <w:t>esitamine VV-le kinnitamiseks</w:t>
                            </w:r>
                            <w:r>
                              <w:rPr>
                                <w:rFonts w:ascii="Arial Narrow" w:hAnsi="Arial Narrow"/>
                                <w:b/>
                              </w:rPr>
                              <w:t>, i</w:t>
                            </w:r>
                            <w:r w:rsidRPr="00631341">
                              <w:rPr>
                                <w:rFonts w:ascii="Arial Narrow" w:hAnsi="Arial Narrow"/>
                                <w:b/>
                              </w:rPr>
                              <w:t>nvesteeringute kava kinnitamine</w:t>
                            </w:r>
                          </w:p>
                          <w:p w14:paraId="46ABE8C5" w14:textId="644B8BE7" w:rsidR="00E11AD1" w:rsidRPr="007D2082" w:rsidRDefault="00E11AD1" w:rsidP="00D2527E">
                            <w:pPr>
                              <w:spacing w:before="0" w:after="0"/>
                              <w:jc w:val="center"/>
                              <w:rPr>
                                <w:rFonts w:ascii="Arial Narrow" w:hAnsi="Arial Narrow"/>
                              </w:rPr>
                            </w:pPr>
                            <w:r w:rsidRPr="007D2082">
                              <w:rPr>
                                <w:rFonts w:ascii="Arial Narrow" w:hAnsi="Arial Narrow"/>
                              </w:rPr>
                              <w:t>Projektid, mis sisaldavad</w:t>
                            </w:r>
                            <w:r>
                              <w:rPr>
                                <w:rFonts w:ascii="Arial Narrow" w:hAnsi="Arial Narrow"/>
                              </w:rPr>
                              <w:t xml:space="preserve"> investeeringuid teadus- ja õppehoonete rajamisse</w:t>
                            </w:r>
                          </w:p>
                          <w:p w14:paraId="4C0DA203" w14:textId="4E69051C" w:rsidR="00E11AD1" w:rsidRPr="00631341" w:rsidRDefault="00E11AD1" w:rsidP="007D2082">
                            <w:pPr>
                              <w:spacing w:before="0" w:after="0"/>
                              <w:jc w:val="center"/>
                              <w:rPr>
                                <w:rFonts w:ascii="Arial Narrow" w:hAnsi="Arial Narrow"/>
                                <w:b/>
                              </w:rPr>
                            </w:pPr>
                            <w:r>
                              <w:rPr>
                                <w:rFonts w:ascii="Arial Narrow" w:hAnsi="Arial Narrow"/>
                                <w:b/>
                              </w:rPr>
                              <w:t>Hindamiskomisjoni heakskiit</w:t>
                            </w:r>
                          </w:p>
                          <w:p w14:paraId="420D1BC4" w14:textId="29C36F00" w:rsidR="00E11AD1" w:rsidRPr="008B0618" w:rsidRDefault="00E11AD1" w:rsidP="007D2082">
                            <w:pPr>
                              <w:spacing w:before="0" w:after="0"/>
                              <w:jc w:val="center"/>
                              <w:rPr>
                                <w:rFonts w:ascii="Times New Roman" w:hAnsi="Times New Roman"/>
                                <w:b/>
                              </w:rPr>
                            </w:pPr>
                            <w:r w:rsidRPr="007D2082">
                              <w:rPr>
                                <w:rFonts w:ascii="Arial Narrow" w:hAnsi="Arial Narrow"/>
                              </w:rPr>
                              <w:t xml:space="preserve">Projektid, mis </w:t>
                            </w:r>
                            <w:r>
                              <w:rPr>
                                <w:rFonts w:ascii="Arial Narrow" w:hAnsi="Arial Narrow"/>
                              </w:rPr>
                              <w:t xml:space="preserve">ei </w:t>
                            </w:r>
                            <w:r w:rsidRPr="007D2082">
                              <w:rPr>
                                <w:rFonts w:ascii="Arial Narrow" w:hAnsi="Arial Narrow"/>
                              </w:rPr>
                              <w:t>sisalda</w:t>
                            </w:r>
                            <w:r>
                              <w:rPr>
                                <w:rFonts w:ascii="Arial Narrow" w:hAnsi="Arial Narrow"/>
                              </w:rPr>
                              <w:t xml:space="preserve"> investeeringuid teadus- ja õppehoonete rajamisse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3A7CE" id="Tekstiväli 9" o:spid="_x0000_s1033" type="#_x0000_t202" style="position:absolute;margin-left:101.65pt;margin-top:11.3pt;width:294pt;height:96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" fillcolor="window" strokeweight=".5pt">
                <v:textbox>
                  <w:txbxContent>
                    <w:p w14:paraId="6D5A9250" w14:textId="46706D9F" w:rsidR="00E11AD1" w:rsidRPr="00631341" w:rsidRDefault="00E11AD1" w:rsidP="00D2527E">
                      <w:pPr>
                        <w:spacing w:before="0" w:after="0"/>
                        <w:jc w:val="center"/>
                        <w:rPr>
                          <w:rFonts w:ascii="Arial Narrow" w:hAnsi="Arial Narrow"/>
                          <w:b/>
                        </w:rPr>
                      </w:pPr>
                      <w:r w:rsidRPr="00631341">
                        <w:rPr>
                          <w:rFonts w:ascii="Arial Narrow" w:hAnsi="Arial Narrow"/>
                          <w:b/>
                        </w:rPr>
                        <w:t xml:space="preserve">Investeeringute kava </w:t>
                      </w:r>
                      <w:r>
                        <w:rPr>
                          <w:rFonts w:ascii="Arial Narrow" w:hAnsi="Arial Narrow"/>
                          <w:b/>
                        </w:rPr>
                        <w:t xml:space="preserve">eelnõu </w:t>
                      </w:r>
                      <w:r w:rsidRPr="00631341">
                        <w:rPr>
                          <w:rFonts w:ascii="Arial Narrow" w:hAnsi="Arial Narrow"/>
                          <w:b/>
                        </w:rPr>
                        <w:t>esitamine VV-le kinnitamiseks</w:t>
                      </w:r>
                      <w:r>
                        <w:rPr>
                          <w:rFonts w:ascii="Arial Narrow" w:hAnsi="Arial Narrow"/>
                          <w:b/>
                        </w:rPr>
                        <w:t>, i</w:t>
                      </w:r>
                      <w:r w:rsidRPr="00631341">
                        <w:rPr>
                          <w:rFonts w:ascii="Arial Narrow" w:hAnsi="Arial Narrow"/>
                          <w:b/>
                        </w:rPr>
                        <w:t>nvesteeringute kava kinnitamine</w:t>
                      </w:r>
                    </w:p>
                    <w:p w14:paraId="46ABE8C5" w14:textId="644B8BE7" w:rsidR="00E11AD1" w:rsidRPr="007D2082" w:rsidRDefault="00E11AD1" w:rsidP="00D2527E">
                      <w:pPr>
                        <w:spacing w:before="0" w:after="0"/>
                        <w:jc w:val="center"/>
                        <w:rPr>
                          <w:rFonts w:ascii="Arial Narrow" w:hAnsi="Arial Narrow"/>
                        </w:rPr>
                      </w:pPr>
                      <w:r w:rsidRPr="007D2082">
                        <w:rPr>
                          <w:rFonts w:ascii="Arial Narrow" w:hAnsi="Arial Narrow"/>
                        </w:rPr>
                        <w:t>Projektid, mis sisaldavad</w:t>
                      </w:r>
                      <w:r>
                        <w:rPr>
                          <w:rFonts w:ascii="Arial Narrow" w:hAnsi="Arial Narrow"/>
                        </w:rPr>
                        <w:t xml:space="preserve"> investeeringuid teadus- ja õppehoonete rajamisse</w:t>
                      </w:r>
                    </w:p>
                    <w:p w14:paraId="4C0DA203" w14:textId="4E69051C" w:rsidR="00E11AD1" w:rsidRPr="00631341" w:rsidRDefault="00E11AD1" w:rsidP="007D2082">
                      <w:pPr>
                        <w:spacing w:before="0" w:after="0"/>
                        <w:jc w:val="center"/>
                        <w:rPr>
                          <w:rFonts w:ascii="Arial Narrow" w:hAnsi="Arial Narrow"/>
                          <w:b/>
                        </w:rPr>
                      </w:pPr>
                      <w:r>
                        <w:rPr>
                          <w:rFonts w:ascii="Arial Narrow" w:hAnsi="Arial Narrow"/>
                          <w:b/>
                        </w:rPr>
                        <w:t>Hindamiskomisjoni heakskiit</w:t>
                      </w:r>
                    </w:p>
                    <w:p w14:paraId="420D1BC4" w14:textId="29C36F00" w:rsidR="00E11AD1" w:rsidRPr="008B0618" w:rsidRDefault="00E11AD1" w:rsidP="007D2082">
                      <w:pPr>
                        <w:spacing w:before="0" w:after="0"/>
                        <w:jc w:val="center"/>
                        <w:rPr>
                          <w:rFonts w:ascii="Times New Roman" w:hAnsi="Times New Roman"/>
                          <w:b/>
                        </w:rPr>
                      </w:pPr>
                      <w:r w:rsidRPr="007D2082">
                        <w:rPr>
                          <w:rFonts w:ascii="Arial Narrow" w:hAnsi="Arial Narrow"/>
                        </w:rPr>
                        <w:t xml:space="preserve">Projektid, mis </w:t>
                      </w:r>
                      <w:r>
                        <w:rPr>
                          <w:rFonts w:ascii="Arial Narrow" w:hAnsi="Arial Narrow"/>
                        </w:rPr>
                        <w:t xml:space="preserve">ei </w:t>
                      </w:r>
                      <w:r w:rsidRPr="007D2082">
                        <w:rPr>
                          <w:rFonts w:ascii="Arial Narrow" w:hAnsi="Arial Narrow"/>
                        </w:rPr>
                        <w:t>sisalda</w:t>
                      </w:r>
                      <w:r>
                        <w:rPr>
                          <w:rFonts w:ascii="Arial Narrow" w:hAnsi="Arial Narrow"/>
                        </w:rPr>
                        <w:t xml:space="preserve"> investeeringuid teadus- ja õppehoonete rajamisse</w:t>
                      </w:r>
                    </w:p>
                  </w:txbxContent>
                </v:textbox>
                <w10:wrap anchorx="margin"/>
              </v:shape>
            </w:pict>
          </mc:Fallback>
        </mc:AlternateContent>
      </w:r>
      <w:r w:rsidR="006425E5" w:rsidRPr="00A245DA">
        <w:rPr>
          <w:rFonts w:ascii="Times New Roman" w:eastAsia="Calibri" w:hAnsi="Times New Roman" w:cs="Times New Roman"/>
          <w:b/>
          <w:noProof/>
          <w:lang w:eastAsia="et-EE"/>
        </w:rPr>
        <mc:AlternateContent>
          <mc:Choice Requires="wps">
            <w:drawing>
              <wp:anchor distT="0" distB="0" distL="114300" distR="114300" simplePos="0" relativeHeight="251658241" behindDoc="0" locked="0" layoutInCell="1" allowOverlap="1" wp14:anchorId="3CA359E1" wp14:editId="0DE391FF">
                <wp:simplePos x="0" y="0"/>
                <wp:positionH relativeFrom="column">
                  <wp:posOffset>5100320</wp:posOffset>
                </wp:positionH>
                <wp:positionV relativeFrom="paragraph">
                  <wp:posOffset>137795</wp:posOffset>
                </wp:positionV>
                <wp:extent cx="1156335" cy="695325"/>
                <wp:effectExtent l="0" t="0" r="24765" b="28575"/>
                <wp:wrapNone/>
                <wp:docPr id="19" name="Tekstiväli 19"/>
                <wp:cNvGraphicFramePr/>
                <a:graphic xmlns:a="http://schemas.openxmlformats.org/drawingml/2006/main">
                  <a:graphicData uri="http://schemas.microsoft.com/office/word/2010/wordprocessingShape">
                    <wps:wsp>
                      <wps:cNvSpPr txBox="1"/>
                      <wps:spPr>
                        <a:xfrm>
                          <a:off x="0" y="0"/>
                          <a:ext cx="1156335" cy="695325"/>
                        </a:xfrm>
                        <a:prstGeom prst="rect">
                          <a:avLst/>
                        </a:prstGeom>
                        <a:noFill/>
                        <a:ln w="6350">
                          <a:solidFill>
                            <a:prstClr val="black"/>
                          </a:solidFill>
                        </a:ln>
                        <a:effectLst/>
                      </wps:spPr>
                      <wps:txbx>
                        <w:txbxContent>
                          <w:p w14:paraId="5E695E89" w14:textId="77777777" w:rsidR="00E11AD1" w:rsidRPr="00070B9C" w:rsidRDefault="00E11AD1" w:rsidP="00D2527E">
                            <w:pPr>
                              <w:spacing w:after="0"/>
                              <w:jc w:val="center"/>
                              <w:rPr>
                                <w:rFonts w:ascii="Arial Narrow" w:hAnsi="Arial Narrow"/>
                                <w:b/>
                              </w:rPr>
                            </w:pPr>
                            <w:r w:rsidRPr="00070B9C">
                              <w:rPr>
                                <w:rFonts w:ascii="Arial Narrow" w:hAnsi="Arial Narrow"/>
                                <w:b/>
                              </w:rPr>
                              <w:t>Mitterahastamise otsus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359E1" id="Tekstiväli 19" o:spid="_x0000_s1034" type="#_x0000_t202" style="position:absolute;margin-left:401.6pt;margin-top:10.85pt;width:91.05pt;height:5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" filled="f" strokeweight=".5pt">
                <v:textbox>
                  <w:txbxContent>
                    <w:p w14:paraId="5E695E89" w14:textId="77777777" w:rsidR="00E11AD1" w:rsidRPr="00070B9C" w:rsidRDefault="00E11AD1" w:rsidP="00D2527E">
                      <w:pPr>
                        <w:spacing w:after="0"/>
                        <w:jc w:val="center"/>
                        <w:rPr>
                          <w:rFonts w:ascii="Arial Narrow" w:hAnsi="Arial Narrow"/>
                          <w:b/>
                        </w:rPr>
                      </w:pPr>
                      <w:r w:rsidRPr="00070B9C">
                        <w:rPr>
                          <w:rFonts w:ascii="Arial Narrow" w:hAnsi="Arial Narrow"/>
                          <w:b/>
                        </w:rPr>
                        <w:t>Mitterahastamise otsus</w:t>
                      </w:r>
                    </w:p>
                  </w:txbxContent>
                </v:textbox>
              </v:shape>
            </w:pict>
          </mc:Fallback>
        </mc:AlternateContent>
      </w:r>
    </w:p>
    <w:p w14:paraId="7CE79AD4" w14:textId="099D5C39" w:rsidR="00D2527E" w:rsidRPr="00A245DA" w:rsidRDefault="00D2527E" w:rsidP="00D8377C">
      <w:pPr>
        <w:pStyle w:val="NoSpacing"/>
        <w:rPr>
          <w:rFonts w:ascii="Times New Roman" w:hAnsi="Times New Roman" w:cs="Times New Roman"/>
          <w:b/>
        </w:rPr>
      </w:pPr>
    </w:p>
    <w:p w14:paraId="5C2BA515" w14:textId="77777777" w:rsidR="00D2527E" w:rsidRPr="00A245DA" w:rsidRDefault="00D2527E" w:rsidP="00D8377C">
      <w:pPr>
        <w:pStyle w:val="NoSpacing"/>
        <w:rPr>
          <w:rFonts w:ascii="Times New Roman" w:hAnsi="Times New Roman" w:cs="Times New Roman"/>
          <w:b/>
        </w:rPr>
      </w:pPr>
    </w:p>
    <w:p w14:paraId="11691064" w14:textId="77777777" w:rsidR="00D2527E" w:rsidRPr="00A245DA" w:rsidRDefault="00D2527E" w:rsidP="00D8377C">
      <w:pPr>
        <w:pStyle w:val="NoSpacing"/>
        <w:rPr>
          <w:rFonts w:ascii="Times New Roman" w:hAnsi="Times New Roman" w:cs="Times New Roman"/>
          <w:b/>
        </w:rPr>
      </w:pPr>
    </w:p>
    <w:p w14:paraId="06A6862D" w14:textId="77777777" w:rsidR="00D2527E" w:rsidRPr="00A245DA" w:rsidRDefault="00D2527E" w:rsidP="00D8377C">
      <w:pPr>
        <w:pStyle w:val="NoSpacing"/>
        <w:rPr>
          <w:rFonts w:ascii="Times New Roman" w:hAnsi="Times New Roman" w:cs="Times New Roman"/>
          <w:b/>
        </w:rPr>
      </w:pPr>
    </w:p>
    <w:p w14:paraId="09127F02" w14:textId="2340ABE4" w:rsidR="00DA0653" w:rsidRPr="00A245DA" w:rsidRDefault="00DA0653" w:rsidP="00777EA4">
      <w:pPr>
        <w:pStyle w:val="NoSpacing"/>
        <w:jc w:val="both"/>
        <w:rPr>
          <w:rFonts w:ascii="Times New Roman" w:hAnsi="Times New Roman" w:cs="Times New Roman"/>
          <w:b/>
          <w:bCs/>
          <w:u w:val="single"/>
        </w:rPr>
      </w:pPr>
    </w:p>
    <w:p w14:paraId="259F24ED" w14:textId="784C4DB4" w:rsidR="00DA0653" w:rsidRPr="00A245DA" w:rsidRDefault="00DA0653" w:rsidP="00777EA4">
      <w:pPr>
        <w:pStyle w:val="NoSpacing"/>
        <w:jc w:val="both"/>
        <w:rPr>
          <w:rFonts w:ascii="Times New Roman" w:hAnsi="Times New Roman" w:cs="Times New Roman"/>
          <w:b/>
          <w:bCs/>
          <w:u w:val="single"/>
        </w:rPr>
      </w:pPr>
    </w:p>
    <w:p w14:paraId="62BDB93F" w14:textId="5A401CD2" w:rsidR="007D2082" w:rsidRPr="00A245DA" w:rsidRDefault="007D2082" w:rsidP="00777EA4">
      <w:pPr>
        <w:pStyle w:val="NoSpacing"/>
        <w:jc w:val="both"/>
        <w:rPr>
          <w:rFonts w:ascii="Times New Roman" w:hAnsi="Times New Roman" w:cs="Times New Roman"/>
          <w:b/>
          <w:bCs/>
          <w:u w:val="single"/>
        </w:rPr>
      </w:pPr>
    </w:p>
    <w:p w14:paraId="111FCF6D" w14:textId="689E7B6E" w:rsidR="007D2082" w:rsidRPr="00A245DA" w:rsidRDefault="007D2082" w:rsidP="00777EA4">
      <w:pPr>
        <w:pStyle w:val="NoSpacing"/>
        <w:jc w:val="both"/>
        <w:rPr>
          <w:rFonts w:ascii="Times New Roman" w:hAnsi="Times New Roman" w:cs="Times New Roman"/>
          <w:b/>
          <w:bCs/>
          <w:u w:val="single"/>
        </w:rPr>
      </w:pPr>
      <w:r w:rsidRPr="00A245DA">
        <w:rPr>
          <w:rFonts w:ascii="Times New Roman" w:eastAsia="Calibri" w:hAnsi="Times New Roman" w:cs="Times New Roman"/>
          <w:b/>
          <w:noProof/>
          <w:lang w:eastAsia="et-EE"/>
        </w:rPr>
        <mc:AlternateContent>
          <mc:Choice Requires="wps">
            <w:drawing>
              <wp:anchor distT="0" distB="0" distL="114300" distR="114300" simplePos="0" relativeHeight="251658255" behindDoc="0" locked="0" layoutInCell="1" allowOverlap="1" wp14:anchorId="2F876315" wp14:editId="3B1C0DB9">
                <wp:simplePos x="0" y="0"/>
                <wp:positionH relativeFrom="margin">
                  <wp:posOffset>3038475</wp:posOffset>
                </wp:positionH>
                <wp:positionV relativeFrom="paragraph">
                  <wp:posOffset>4445</wp:posOffset>
                </wp:positionV>
                <wp:extent cx="0" cy="275590"/>
                <wp:effectExtent l="133350" t="0" r="57150" b="48260"/>
                <wp:wrapNone/>
                <wp:docPr id="32" name="Sirge noolkonnektor 32"/>
                <wp:cNvGraphicFramePr/>
                <a:graphic xmlns:a="http://schemas.openxmlformats.org/drawingml/2006/main">
                  <a:graphicData uri="http://schemas.microsoft.com/office/word/2010/wordprocessingShape">
                    <wps:wsp>
                      <wps:cNvCnPr/>
                      <wps:spPr>
                        <a:xfrm>
                          <a:off x="0" y="0"/>
                          <a:ext cx="0" cy="275590"/>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6028CAE" id="Sirge noolkonnektor 32" o:spid="_x0000_s1026" type="#_x0000_t32" style="position:absolute;margin-left:239.25pt;margin-top:.35pt;width:0;height:21.7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" strokecolor="#4a7ebb" strokeweight="3pt">
                <v:stroke endarrow="open"/>
                <w10:wrap anchorx="margin"/>
              </v:shape>
            </w:pict>
          </mc:Fallback>
        </mc:AlternateContent>
      </w:r>
    </w:p>
    <w:p w14:paraId="159D573F" w14:textId="381CB29A" w:rsidR="007D2082" w:rsidRPr="00A245DA" w:rsidRDefault="007D2082" w:rsidP="00777EA4">
      <w:pPr>
        <w:pStyle w:val="NoSpacing"/>
        <w:jc w:val="both"/>
        <w:rPr>
          <w:rFonts w:ascii="Times New Roman" w:hAnsi="Times New Roman" w:cs="Times New Roman"/>
          <w:b/>
          <w:bCs/>
          <w:u w:val="single"/>
        </w:rPr>
      </w:pPr>
      <w:r w:rsidRPr="00A245DA">
        <w:rPr>
          <w:rFonts w:ascii="Times New Roman" w:eastAsia="Calibri" w:hAnsi="Times New Roman" w:cs="Times New Roman"/>
          <w:b/>
          <w:noProof/>
          <w:lang w:eastAsia="et-EE"/>
        </w:rPr>
        <mc:AlternateContent>
          <mc:Choice Requires="wps">
            <w:drawing>
              <wp:anchor distT="0" distB="0" distL="114300" distR="114300" simplePos="0" relativeHeight="251658254" behindDoc="0" locked="0" layoutInCell="1" allowOverlap="1" wp14:anchorId="2B9AD711" wp14:editId="71F9687A">
                <wp:simplePos x="0" y="0"/>
                <wp:positionH relativeFrom="margin">
                  <wp:posOffset>1300480</wp:posOffset>
                </wp:positionH>
                <wp:positionV relativeFrom="paragraph">
                  <wp:posOffset>109220</wp:posOffset>
                </wp:positionV>
                <wp:extent cx="3752850" cy="742950"/>
                <wp:effectExtent l="0" t="0" r="19050" b="19050"/>
                <wp:wrapNone/>
                <wp:docPr id="31" name="Ristkülik 31"/>
                <wp:cNvGraphicFramePr/>
                <a:graphic xmlns:a="http://schemas.openxmlformats.org/drawingml/2006/main">
                  <a:graphicData uri="http://schemas.microsoft.com/office/word/2010/wordprocessingShape">
                    <wps:wsp>
                      <wps:cNvSpPr/>
                      <wps:spPr>
                        <a:xfrm>
                          <a:off x="0" y="0"/>
                          <a:ext cx="3752850" cy="742950"/>
                        </a:xfrm>
                        <a:prstGeom prst="rect">
                          <a:avLst/>
                        </a:prstGeom>
                        <a:solidFill>
                          <a:sysClr val="window" lastClr="FFFFFF"/>
                        </a:solidFill>
                        <a:ln w="3175" cap="flat" cmpd="sng" algn="ctr">
                          <a:solidFill>
                            <a:srgbClr val="002060"/>
                          </a:solidFill>
                          <a:prstDash val="solid"/>
                        </a:ln>
                        <a:effectLst/>
                      </wps:spPr>
                      <wps:txbx>
                        <w:txbxContent>
                          <w:p w14:paraId="7C4D0662" w14:textId="77777777" w:rsidR="00E11AD1" w:rsidRPr="00631341" w:rsidRDefault="00E11AD1" w:rsidP="00D2527E">
                            <w:pPr>
                              <w:spacing w:before="0" w:after="0"/>
                              <w:jc w:val="center"/>
                              <w:rPr>
                                <w:rFonts w:ascii="Arial Narrow" w:hAnsi="Arial Narrow"/>
                                <w:b/>
                              </w:rPr>
                            </w:pPr>
                            <w:r>
                              <w:rPr>
                                <w:rFonts w:ascii="Arial Narrow" w:hAnsi="Arial Narrow"/>
                                <w:b/>
                              </w:rPr>
                              <w:t>Taotluste esitamine</w:t>
                            </w:r>
                          </w:p>
                          <w:p w14:paraId="31FAEA05" w14:textId="2A840AD6" w:rsidR="00E11AD1" w:rsidRPr="00070B9C" w:rsidRDefault="00E11AD1" w:rsidP="00D2527E">
                            <w:pPr>
                              <w:spacing w:before="0" w:after="0"/>
                              <w:rPr>
                                <w:rFonts w:ascii="Arial Narrow" w:hAnsi="Arial Narrow"/>
                              </w:rPr>
                            </w:pPr>
                            <w:r w:rsidRPr="00070B9C">
                              <w:rPr>
                                <w:rFonts w:ascii="Arial Narrow" w:hAnsi="Arial Narrow"/>
                              </w:rPr>
                              <w:t>Investeeringute kavas olevate</w:t>
                            </w:r>
                            <w:r>
                              <w:rPr>
                                <w:rFonts w:ascii="Arial Narrow" w:hAnsi="Arial Narrow"/>
                              </w:rPr>
                              <w:t xml:space="preserve"> projektide või hindamiskomisjoni poolt heaks kiidetud projektide</w:t>
                            </w:r>
                            <w:r w:rsidRPr="00070B9C">
                              <w:rPr>
                                <w:rFonts w:ascii="Arial Narrow" w:hAnsi="Arial Narrow"/>
                              </w:rPr>
                              <w:t xml:space="preserve"> rahastamiseks esitavad asutused täistaotluse SA-le Archimedes (</w:t>
                            </w:r>
                            <w:r>
                              <w:rPr>
                                <w:rFonts w:ascii="Arial Narrow" w:hAnsi="Arial Narrow"/>
                              </w:rPr>
                              <w:t>rakendusüksus</w:t>
                            </w:r>
                            <w:r w:rsidRPr="00070B9C">
                              <w:rPr>
                                <w:rFonts w:ascii="Arial Narrow" w:hAnsi="Arial Narrow"/>
                              </w:rPr>
                              <w:t>).</w:t>
                            </w:r>
                          </w:p>
                          <w:p w14:paraId="01F08495" w14:textId="77777777" w:rsidR="00E11AD1" w:rsidRPr="00CF2D88" w:rsidRDefault="00E11AD1" w:rsidP="00D2527E">
                            <w:pPr>
                              <w:spacing w:before="0"/>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AD711" id="Ristkülik 31" o:spid="_x0000_s1035" style="position:absolute;left:0;text-align:left;margin-left:102.4pt;margin-top:8.6pt;width:295.5pt;height:58.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" fillcolor="window" strokecolor="#002060" strokeweight=".25pt">
                <v:textbox>
                  <w:txbxContent>
                    <w:p w14:paraId="7C4D0662" w14:textId="77777777" w:rsidR="00E11AD1" w:rsidRPr="00631341" w:rsidRDefault="00E11AD1" w:rsidP="00D2527E">
                      <w:pPr>
                        <w:spacing w:before="0" w:after="0"/>
                        <w:jc w:val="center"/>
                        <w:rPr>
                          <w:rFonts w:ascii="Arial Narrow" w:hAnsi="Arial Narrow"/>
                          <w:b/>
                        </w:rPr>
                      </w:pPr>
                      <w:r>
                        <w:rPr>
                          <w:rFonts w:ascii="Arial Narrow" w:hAnsi="Arial Narrow"/>
                          <w:b/>
                        </w:rPr>
                        <w:t>Taotluste esitamine</w:t>
                      </w:r>
                    </w:p>
                    <w:p w14:paraId="31FAEA05" w14:textId="2A840AD6" w:rsidR="00E11AD1" w:rsidRPr="00070B9C" w:rsidRDefault="00E11AD1" w:rsidP="00D2527E">
                      <w:pPr>
                        <w:spacing w:before="0" w:after="0"/>
                        <w:rPr>
                          <w:rFonts w:ascii="Arial Narrow" w:hAnsi="Arial Narrow"/>
                        </w:rPr>
                      </w:pPr>
                      <w:r w:rsidRPr="00070B9C">
                        <w:rPr>
                          <w:rFonts w:ascii="Arial Narrow" w:hAnsi="Arial Narrow"/>
                        </w:rPr>
                        <w:t>Investeeringute kavas olevate</w:t>
                      </w:r>
                      <w:r>
                        <w:rPr>
                          <w:rFonts w:ascii="Arial Narrow" w:hAnsi="Arial Narrow"/>
                        </w:rPr>
                        <w:t xml:space="preserve"> projektide või hindamiskomisjoni poolt heaks kiidetud projektide</w:t>
                      </w:r>
                      <w:r w:rsidRPr="00070B9C">
                        <w:rPr>
                          <w:rFonts w:ascii="Arial Narrow" w:hAnsi="Arial Narrow"/>
                        </w:rPr>
                        <w:t xml:space="preserve"> rahastamiseks esitavad asutused täistaotluse SA-le Archimedes (</w:t>
                      </w:r>
                      <w:r>
                        <w:rPr>
                          <w:rFonts w:ascii="Arial Narrow" w:hAnsi="Arial Narrow"/>
                        </w:rPr>
                        <w:t>rakendusüksus</w:t>
                      </w:r>
                      <w:r w:rsidRPr="00070B9C">
                        <w:rPr>
                          <w:rFonts w:ascii="Arial Narrow" w:hAnsi="Arial Narrow"/>
                        </w:rPr>
                        <w:t>).</w:t>
                      </w:r>
                    </w:p>
                    <w:p w14:paraId="01F08495" w14:textId="77777777" w:rsidR="00E11AD1" w:rsidRPr="00CF2D88" w:rsidRDefault="00E11AD1" w:rsidP="00D2527E">
                      <w:pPr>
                        <w:spacing w:before="0"/>
                        <w:rPr>
                          <w:rFonts w:ascii="Times New Roman" w:hAnsi="Times New Roman"/>
                        </w:rPr>
                      </w:pPr>
                    </w:p>
                  </w:txbxContent>
                </v:textbox>
                <w10:wrap anchorx="margin"/>
              </v:rect>
            </w:pict>
          </mc:Fallback>
        </mc:AlternateContent>
      </w:r>
    </w:p>
    <w:p w14:paraId="278B1B1E" w14:textId="77777777" w:rsidR="007D2082" w:rsidRPr="00A245DA" w:rsidRDefault="007D2082" w:rsidP="00777EA4">
      <w:pPr>
        <w:pStyle w:val="NoSpacing"/>
        <w:jc w:val="both"/>
        <w:rPr>
          <w:rFonts w:ascii="Times New Roman" w:hAnsi="Times New Roman" w:cs="Times New Roman"/>
          <w:b/>
          <w:bCs/>
          <w:u w:val="single"/>
        </w:rPr>
      </w:pPr>
    </w:p>
    <w:p w14:paraId="36979E4D" w14:textId="77777777" w:rsidR="007D2082" w:rsidRPr="00A245DA" w:rsidRDefault="007D2082" w:rsidP="00777EA4">
      <w:pPr>
        <w:pStyle w:val="NoSpacing"/>
        <w:jc w:val="both"/>
        <w:rPr>
          <w:rFonts w:ascii="Times New Roman" w:hAnsi="Times New Roman" w:cs="Times New Roman"/>
          <w:b/>
          <w:bCs/>
          <w:u w:val="single"/>
        </w:rPr>
      </w:pPr>
    </w:p>
    <w:p w14:paraId="498609EC" w14:textId="77777777" w:rsidR="007D2082" w:rsidRPr="00A245DA" w:rsidRDefault="007D2082" w:rsidP="00777EA4">
      <w:pPr>
        <w:pStyle w:val="NoSpacing"/>
        <w:jc w:val="both"/>
        <w:rPr>
          <w:rFonts w:ascii="Times New Roman" w:hAnsi="Times New Roman" w:cs="Times New Roman"/>
          <w:b/>
          <w:bCs/>
          <w:u w:val="single"/>
        </w:rPr>
      </w:pPr>
    </w:p>
    <w:p w14:paraId="26A07A67" w14:textId="77777777" w:rsidR="007D2082" w:rsidRPr="00A245DA" w:rsidRDefault="007D2082" w:rsidP="00777EA4">
      <w:pPr>
        <w:pStyle w:val="NoSpacing"/>
        <w:jc w:val="both"/>
        <w:rPr>
          <w:rFonts w:ascii="Times New Roman" w:hAnsi="Times New Roman" w:cs="Times New Roman"/>
          <w:b/>
          <w:bCs/>
          <w:u w:val="single"/>
        </w:rPr>
      </w:pPr>
    </w:p>
    <w:p w14:paraId="676B33AD" w14:textId="77777777" w:rsidR="007D2082" w:rsidRPr="00A245DA" w:rsidRDefault="007D2082" w:rsidP="00777EA4">
      <w:pPr>
        <w:pStyle w:val="NoSpacing"/>
        <w:jc w:val="both"/>
        <w:rPr>
          <w:rFonts w:ascii="Times New Roman" w:hAnsi="Times New Roman" w:cs="Times New Roman"/>
          <w:b/>
          <w:bCs/>
          <w:u w:val="single"/>
        </w:rPr>
      </w:pPr>
    </w:p>
    <w:p w14:paraId="0BC57E5A" w14:textId="77777777" w:rsidR="007D2082" w:rsidRPr="00A245DA" w:rsidRDefault="007D2082" w:rsidP="00777EA4">
      <w:pPr>
        <w:pStyle w:val="NoSpacing"/>
        <w:jc w:val="both"/>
        <w:rPr>
          <w:rFonts w:ascii="Times New Roman" w:hAnsi="Times New Roman" w:cs="Times New Roman"/>
          <w:b/>
          <w:bCs/>
          <w:u w:val="single"/>
        </w:rPr>
      </w:pPr>
    </w:p>
    <w:p w14:paraId="44EE053C" w14:textId="3D7D302C" w:rsidR="00777EA4" w:rsidRPr="00A245DA" w:rsidRDefault="00777EA4" w:rsidP="00777EA4">
      <w:pPr>
        <w:pStyle w:val="NoSpacing"/>
        <w:jc w:val="both"/>
        <w:rPr>
          <w:rFonts w:ascii="Times New Roman" w:hAnsi="Times New Roman" w:cs="Times New Roman"/>
        </w:rPr>
      </w:pPr>
      <w:r w:rsidRPr="00A245DA">
        <w:rPr>
          <w:rFonts w:ascii="Times New Roman" w:hAnsi="Times New Roman" w:cs="Times New Roman"/>
          <w:u w:val="single"/>
        </w:rPr>
        <w:t>§-s 16</w:t>
      </w:r>
      <w:r w:rsidRPr="00A245DA">
        <w:rPr>
          <w:rFonts w:ascii="Times New Roman" w:hAnsi="Times New Roman" w:cs="Times New Roman"/>
        </w:rPr>
        <w:t xml:space="preserve"> on kirjeldatud investeeringute kava</w:t>
      </w:r>
      <w:r w:rsidR="00285C9D" w:rsidRPr="00A245DA">
        <w:rPr>
          <w:rFonts w:ascii="Times New Roman" w:hAnsi="Times New Roman" w:cs="Times New Roman"/>
        </w:rPr>
        <w:t xml:space="preserve"> </w:t>
      </w:r>
      <w:r w:rsidRPr="00A245DA">
        <w:rPr>
          <w:rFonts w:ascii="Times New Roman" w:hAnsi="Times New Roman" w:cs="Times New Roman"/>
        </w:rPr>
        <w:t>muutmise võimalusi</w:t>
      </w:r>
      <w:r w:rsidR="004154C1" w:rsidRPr="00A245DA">
        <w:rPr>
          <w:rFonts w:ascii="Times New Roman" w:hAnsi="Times New Roman" w:cs="Times New Roman"/>
        </w:rPr>
        <w:t xml:space="preserve"> ja meetme tegevuse vabade vahendite eraldamise korda</w:t>
      </w:r>
      <w:r w:rsidRPr="00A245DA">
        <w:rPr>
          <w:rFonts w:ascii="Times New Roman" w:hAnsi="Times New Roman" w:cs="Times New Roman"/>
        </w:rPr>
        <w:t>.</w:t>
      </w:r>
    </w:p>
    <w:p w14:paraId="7A4B9719" w14:textId="0807F9F5" w:rsidR="00777EA4" w:rsidRPr="00A245DA" w:rsidRDefault="00777EA4" w:rsidP="00777EA4">
      <w:pPr>
        <w:pStyle w:val="NoSpacing"/>
        <w:jc w:val="both"/>
        <w:rPr>
          <w:rFonts w:ascii="Times New Roman" w:hAnsi="Times New Roman" w:cs="Times New Roman"/>
        </w:rPr>
      </w:pPr>
      <w:r w:rsidRPr="00A245DA">
        <w:rPr>
          <w:rFonts w:ascii="Times New Roman" w:hAnsi="Times New Roman" w:cs="Times New Roman"/>
          <w:u w:val="single"/>
        </w:rPr>
        <w:t>Lõigetes 1 ja 2</w:t>
      </w:r>
      <w:r w:rsidRPr="00A245DA">
        <w:rPr>
          <w:rFonts w:ascii="Times New Roman" w:hAnsi="Times New Roman" w:cs="Times New Roman"/>
        </w:rPr>
        <w:t xml:space="preserve"> on kirjeldatud, et investeeringute kava muutmist võib algatada rakendusasutus kas iseseisvalt või rakendusüksuse ettepanekul. Tõenäoline investeeringute kava</w:t>
      </w:r>
      <w:r w:rsidR="00285C9D" w:rsidRPr="00A245DA">
        <w:rPr>
          <w:rFonts w:ascii="Times New Roman" w:hAnsi="Times New Roman" w:cs="Times New Roman"/>
        </w:rPr>
        <w:t xml:space="preserve"> ja ettepanekute</w:t>
      </w:r>
      <w:r w:rsidRPr="00A245DA">
        <w:rPr>
          <w:rFonts w:ascii="Times New Roman" w:hAnsi="Times New Roman" w:cs="Times New Roman"/>
        </w:rPr>
        <w:t xml:space="preserve"> muutmine toimub pärast 2019. a projektide vahehindamist, vastavat protsessi on kirjeldatud §-s </w:t>
      </w:r>
      <w:r w:rsidR="0091221D" w:rsidRPr="00A245DA">
        <w:rPr>
          <w:rFonts w:ascii="Times New Roman" w:hAnsi="Times New Roman" w:cs="Times New Roman"/>
        </w:rPr>
        <w:t>25</w:t>
      </w:r>
      <w:r w:rsidRPr="00A245DA">
        <w:rPr>
          <w:rFonts w:ascii="Times New Roman" w:hAnsi="Times New Roman" w:cs="Times New Roman"/>
        </w:rPr>
        <w:t>. Investeeringute kava</w:t>
      </w:r>
      <w:r w:rsidR="00285C9D" w:rsidRPr="00A245DA">
        <w:rPr>
          <w:rFonts w:ascii="Times New Roman" w:hAnsi="Times New Roman" w:cs="Times New Roman"/>
        </w:rPr>
        <w:t xml:space="preserve"> või otse pärast hindamist </w:t>
      </w:r>
      <w:r w:rsidR="0091221D" w:rsidRPr="00A245DA">
        <w:rPr>
          <w:rFonts w:ascii="Times New Roman" w:hAnsi="Times New Roman" w:cs="Times New Roman"/>
        </w:rPr>
        <w:t xml:space="preserve">hindamiskomisjoni poolt heaks kiidetud ja </w:t>
      </w:r>
      <w:r w:rsidR="00285C9D" w:rsidRPr="00A245DA">
        <w:rPr>
          <w:rFonts w:ascii="Times New Roman" w:hAnsi="Times New Roman" w:cs="Times New Roman"/>
        </w:rPr>
        <w:t xml:space="preserve">rakendusüksusele esitatud </w:t>
      </w:r>
      <w:r w:rsidR="0091221D" w:rsidRPr="00A245DA">
        <w:rPr>
          <w:rFonts w:ascii="Times New Roman" w:hAnsi="Times New Roman" w:cs="Times New Roman"/>
        </w:rPr>
        <w:t xml:space="preserve"> projektide taotluse rahuldamise otsuseid</w:t>
      </w:r>
      <w:r w:rsidRPr="00A245DA">
        <w:rPr>
          <w:rFonts w:ascii="Times New Roman" w:hAnsi="Times New Roman" w:cs="Times New Roman"/>
        </w:rPr>
        <w:t xml:space="preserve"> on vaja muuta ka juhul, projekti alustamine viibib. Sel juhul arvatakse projekt investeeringute kavast välja</w:t>
      </w:r>
      <w:r w:rsidR="00285C9D" w:rsidRPr="00A245DA">
        <w:rPr>
          <w:rFonts w:ascii="Times New Roman" w:hAnsi="Times New Roman" w:cs="Times New Roman"/>
        </w:rPr>
        <w:t xml:space="preserve"> või võib rakendusüksus teha ta</w:t>
      </w:r>
      <w:r w:rsidR="00DD1A79" w:rsidRPr="00A245DA">
        <w:rPr>
          <w:rFonts w:ascii="Times New Roman" w:hAnsi="Times New Roman" w:cs="Times New Roman"/>
        </w:rPr>
        <w:t>otluse rahuldamise otsuse kehtetuks tunnistamise otsuse</w:t>
      </w:r>
      <w:r w:rsidRPr="00A245DA">
        <w:rPr>
          <w:rFonts w:ascii="Times New Roman" w:hAnsi="Times New Roman" w:cs="Times New Roman"/>
        </w:rPr>
        <w:t xml:space="preserve">. </w:t>
      </w:r>
      <w:r w:rsidR="000E5435" w:rsidRPr="00A245DA">
        <w:rPr>
          <w:rFonts w:ascii="Times New Roman" w:hAnsi="Times New Roman" w:cs="Times New Roman"/>
        </w:rPr>
        <w:t>Samuti antakse alus investeeringute kava täiendamiseks meetmesse vahendite lisandumisel.</w:t>
      </w:r>
    </w:p>
    <w:p w14:paraId="40F0A526" w14:textId="79FEC8DD" w:rsidR="00777EA4" w:rsidRPr="00A245DA" w:rsidRDefault="00777EA4" w:rsidP="00777EA4">
      <w:pPr>
        <w:pStyle w:val="NoSpacing"/>
        <w:jc w:val="both"/>
        <w:rPr>
          <w:rFonts w:ascii="Times New Roman" w:hAnsi="Times New Roman" w:cs="Times New Roman"/>
        </w:rPr>
      </w:pPr>
      <w:r w:rsidRPr="00A245DA">
        <w:rPr>
          <w:rFonts w:ascii="Times New Roman" w:hAnsi="Times New Roman" w:cs="Times New Roman"/>
          <w:u w:val="single"/>
        </w:rPr>
        <w:t>Lõigetes 3-5</w:t>
      </w:r>
      <w:r w:rsidRPr="00A245DA">
        <w:rPr>
          <w:rFonts w:ascii="Times New Roman" w:hAnsi="Times New Roman" w:cs="Times New Roman"/>
        </w:rPr>
        <w:t xml:space="preserve"> on kirjeldatud võimalusi investeeringute kava </w:t>
      </w:r>
      <w:r w:rsidR="0091221D" w:rsidRPr="00A245DA">
        <w:rPr>
          <w:rFonts w:ascii="Times New Roman" w:hAnsi="Times New Roman" w:cs="Times New Roman"/>
        </w:rPr>
        <w:t xml:space="preserve">või otse rakendusüksusele esitatud projektide loetelu </w:t>
      </w:r>
      <w:r w:rsidRPr="00A245DA">
        <w:rPr>
          <w:rFonts w:ascii="Times New Roman" w:hAnsi="Times New Roman" w:cs="Times New Roman"/>
        </w:rPr>
        <w:t xml:space="preserve">täiendamiseks. ASTRA avamisel on võetud eesmärgiks </w:t>
      </w:r>
      <w:r w:rsidR="00DD1A79" w:rsidRPr="00A245DA">
        <w:rPr>
          <w:rFonts w:ascii="Times New Roman" w:hAnsi="Times New Roman" w:cs="Times New Roman"/>
        </w:rPr>
        <w:t>katta</w:t>
      </w:r>
      <w:r w:rsidRPr="00A245DA">
        <w:rPr>
          <w:rFonts w:ascii="Times New Roman" w:hAnsi="Times New Roman" w:cs="Times New Roman"/>
        </w:rPr>
        <w:t xml:space="preserve"> ASTRA eelarve kogumahus. Investeeringute kava</w:t>
      </w:r>
      <w:r w:rsidR="00DD1A79" w:rsidRPr="00A245DA">
        <w:rPr>
          <w:rFonts w:ascii="Times New Roman" w:hAnsi="Times New Roman" w:cs="Times New Roman"/>
        </w:rPr>
        <w:t xml:space="preserve"> või ettepanekute</w:t>
      </w:r>
      <w:r w:rsidRPr="00A245DA">
        <w:rPr>
          <w:rFonts w:ascii="Times New Roman" w:hAnsi="Times New Roman" w:cs="Times New Roman"/>
        </w:rPr>
        <w:t xml:space="preserve"> täiendamine on võimalik, kui meetmesse on tekkinud vabanenud vahendeid tulenevalt projektide alustamata jätmisest, katkestamisest, toetuse kasutamisest vähemas mahus või vahehindamise tulemusena toetussummade vähendamisest. </w:t>
      </w:r>
    </w:p>
    <w:p w14:paraId="6AFC8170" w14:textId="77777777" w:rsidR="00777EA4" w:rsidRPr="00A245DA" w:rsidRDefault="00777EA4" w:rsidP="00777EA4">
      <w:pPr>
        <w:pStyle w:val="NoSpacing"/>
        <w:jc w:val="both"/>
        <w:rPr>
          <w:rFonts w:ascii="Times New Roman" w:hAnsi="Times New Roman" w:cs="Times New Roman"/>
        </w:rPr>
      </w:pPr>
      <w:r w:rsidRPr="00A245DA">
        <w:rPr>
          <w:rFonts w:ascii="Times New Roman" w:hAnsi="Times New Roman" w:cs="Times New Roman"/>
        </w:rPr>
        <w:t>Tulenevalt meetme vabade vahendite mahust ja vahehindamise tulemustest jääb rakendusasutusele otsustusõigus, kas:</w:t>
      </w:r>
    </w:p>
    <w:p w14:paraId="73FE8F55" w14:textId="5B05442A" w:rsidR="00777EA4" w:rsidRPr="00A245DA" w:rsidRDefault="00777EA4" w:rsidP="00777EA4">
      <w:pPr>
        <w:pStyle w:val="NoSpacing"/>
        <w:jc w:val="both"/>
        <w:rPr>
          <w:rFonts w:ascii="Times New Roman" w:hAnsi="Times New Roman" w:cs="Times New Roman"/>
        </w:rPr>
      </w:pPr>
      <w:r w:rsidRPr="00A245DA">
        <w:rPr>
          <w:rFonts w:ascii="Times New Roman" w:hAnsi="Times New Roman" w:cs="Times New Roman"/>
        </w:rPr>
        <w:t>1) kuulutada välja täiesti uus ettepanekute kogumise voor</w:t>
      </w:r>
      <w:r w:rsidR="00EF6F65" w:rsidRPr="00A245DA">
        <w:rPr>
          <w:rFonts w:ascii="Times New Roman" w:hAnsi="Times New Roman" w:cs="Times New Roman"/>
        </w:rPr>
        <w:t>.</w:t>
      </w:r>
      <w:r w:rsidRPr="00A245DA">
        <w:rPr>
          <w:rFonts w:ascii="Times New Roman" w:hAnsi="Times New Roman" w:cs="Times New Roman"/>
        </w:rPr>
        <w:t xml:space="preserve"> Sel juhul võivad toetust taotleda ka need asutused, kes esimeses ettepanekute kogumise voorus üldse ei osalenud või osalesid, kuid nende ettepanekut ei arvatud investeeringute kavasse</w:t>
      </w:r>
      <w:r w:rsidR="00EF6F65" w:rsidRPr="00A245DA">
        <w:rPr>
          <w:rFonts w:ascii="Times New Roman" w:hAnsi="Times New Roman" w:cs="Times New Roman"/>
        </w:rPr>
        <w:t xml:space="preserve"> või ei kiidetud hindamiskomisjoni poolt heaks</w:t>
      </w:r>
      <w:r w:rsidRPr="00A245DA">
        <w:rPr>
          <w:rFonts w:ascii="Times New Roman" w:hAnsi="Times New Roman" w:cs="Times New Roman"/>
        </w:rPr>
        <w:t>;</w:t>
      </w:r>
    </w:p>
    <w:p w14:paraId="07CDB495" w14:textId="7414F2F2" w:rsidR="00777EA4" w:rsidRPr="00A245DA" w:rsidRDefault="00777EA4" w:rsidP="00777EA4">
      <w:pPr>
        <w:pStyle w:val="NoSpacing"/>
        <w:jc w:val="both"/>
        <w:rPr>
          <w:rFonts w:ascii="Times New Roman" w:hAnsi="Times New Roman" w:cs="Times New Roman"/>
        </w:rPr>
      </w:pPr>
      <w:r w:rsidRPr="00A245DA">
        <w:rPr>
          <w:rFonts w:ascii="Times New Roman" w:hAnsi="Times New Roman" w:cs="Times New Roman"/>
        </w:rPr>
        <w:t>2) kuulutada välja osaline ettepanekute kogumise voor, kus näiteks toetust võivad taotleda ainult juba toetust saanud asutused;</w:t>
      </w:r>
    </w:p>
    <w:p w14:paraId="73188898" w14:textId="62B91922" w:rsidR="00EF6F65" w:rsidRPr="00A245DA" w:rsidRDefault="00777EA4" w:rsidP="00777EA4">
      <w:pPr>
        <w:pStyle w:val="NoSpacing"/>
        <w:jc w:val="both"/>
        <w:rPr>
          <w:rFonts w:ascii="Times New Roman" w:hAnsi="Times New Roman" w:cs="Times New Roman"/>
        </w:rPr>
      </w:pPr>
      <w:r w:rsidRPr="00A245DA">
        <w:rPr>
          <w:rFonts w:ascii="Times New Roman" w:hAnsi="Times New Roman" w:cs="Times New Roman"/>
        </w:rPr>
        <w:t xml:space="preserve">3) kuulutada välja suunatud ettepanekute kogumise voor, suunates toetuse vaid teatud ASTRA eesmärkide saavutamiseks ja tegevuste toetamiseks või suunates toetuse teatud valdkondade toetamiseks. </w:t>
      </w:r>
    </w:p>
    <w:p w14:paraId="79955F9D" w14:textId="2D5B4374" w:rsidR="00777EA4" w:rsidRPr="00A245DA" w:rsidRDefault="00777EA4" w:rsidP="00777EA4">
      <w:pPr>
        <w:pStyle w:val="NoSpacing"/>
        <w:jc w:val="both"/>
        <w:rPr>
          <w:rFonts w:ascii="Times New Roman" w:hAnsi="Times New Roman" w:cs="Times New Roman"/>
        </w:rPr>
      </w:pPr>
      <w:r w:rsidRPr="00A245DA">
        <w:rPr>
          <w:rFonts w:ascii="Times New Roman" w:hAnsi="Times New Roman" w:cs="Times New Roman"/>
        </w:rPr>
        <w:t xml:space="preserve">Sisendi </w:t>
      </w:r>
      <w:r w:rsidR="00EF6F65" w:rsidRPr="00A245DA">
        <w:rPr>
          <w:rFonts w:ascii="Times New Roman" w:hAnsi="Times New Roman" w:cs="Times New Roman"/>
        </w:rPr>
        <w:t xml:space="preserve">osaliseks või </w:t>
      </w:r>
      <w:r w:rsidRPr="00A245DA">
        <w:rPr>
          <w:rFonts w:ascii="Times New Roman" w:hAnsi="Times New Roman" w:cs="Times New Roman"/>
        </w:rPr>
        <w:t>suunatud ettepanekute kogumiseks</w:t>
      </w:r>
      <w:r w:rsidR="00EF6F65" w:rsidRPr="00A245DA">
        <w:rPr>
          <w:rFonts w:ascii="Times New Roman" w:hAnsi="Times New Roman" w:cs="Times New Roman"/>
        </w:rPr>
        <w:t xml:space="preserve"> võib saada</w:t>
      </w:r>
      <w:r w:rsidRPr="00A245DA">
        <w:rPr>
          <w:rFonts w:ascii="Times New Roman" w:hAnsi="Times New Roman" w:cs="Times New Roman"/>
        </w:rPr>
        <w:t xml:space="preserve"> vahehindamise tulemustest</w:t>
      </w:r>
      <w:r w:rsidR="00EF6F65" w:rsidRPr="00A245DA">
        <w:rPr>
          <w:rFonts w:ascii="Times New Roman" w:hAnsi="Times New Roman" w:cs="Times New Roman"/>
        </w:rPr>
        <w:t>. Uue, osalise ja suunatud ettepanekute kogumise vooru puhul lähtutakse käesoleva määruse §-dest 10-12 ja 14.</w:t>
      </w:r>
    </w:p>
    <w:p w14:paraId="7281FFAB" w14:textId="5ABF2694" w:rsidR="00777EA4" w:rsidRPr="00A245DA" w:rsidRDefault="00777EA4" w:rsidP="00777EA4">
      <w:pPr>
        <w:pStyle w:val="NoSpacing"/>
        <w:jc w:val="both"/>
        <w:rPr>
          <w:rFonts w:ascii="Times New Roman" w:hAnsi="Times New Roman" w:cs="Times New Roman"/>
        </w:rPr>
      </w:pPr>
      <w:r w:rsidRPr="00A245DA">
        <w:rPr>
          <w:rFonts w:ascii="Times New Roman" w:hAnsi="Times New Roman" w:cs="Times New Roman"/>
        </w:rPr>
        <w:t xml:space="preserve">4) </w:t>
      </w:r>
      <w:r w:rsidR="00EF6F65" w:rsidRPr="00A245DA">
        <w:rPr>
          <w:rFonts w:ascii="Times New Roman" w:hAnsi="Times New Roman" w:cs="Times New Roman"/>
        </w:rPr>
        <w:t xml:space="preserve">Rakendusasutus võib </w:t>
      </w:r>
      <w:r w:rsidRPr="00A245DA">
        <w:rPr>
          <w:rFonts w:ascii="Times New Roman" w:hAnsi="Times New Roman" w:cs="Times New Roman"/>
        </w:rPr>
        <w:t>teha rakendusüksusele ettepanek</w:t>
      </w:r>
      <w:r w:rsidR="00EF6F65" w:rsidRPr="00A245DA">
        <w:rPr>
          <w:rFonts w:ascii="Times New Roman" w:hAnsi="Times New Roman" w:cs="Times New Roman"/>
        </w:rPr>
        <w:t>u</w:t>
      </w:r>
      <w:r w:rsidRPr="00A245DA">
        <w:rPr>
          <w:rFonts w:ascii="Times New Roman" w:hAnsi="Times New Roman" w:cs="Times New Roman"/>
        </w:rPr>
        <w:t xml:space="preserve"> täiendava toetuse taotlusvooru väljakuulutamiseks. Täiendavat toetust võib taotleda nendele projektidele, milles on tegevused hangete tulemusena kallinenud (nt ehitushanked või õppe- ja teadus</w:t>
      </w:r>
      <w:r w:rsidR="00EF6F65" w:rsidRPr="00A245DA">
        <w:rPr>
          <w:rFonts w:ascii="Times New Roman" w:hAnsi="Times New Roman" w:cs="Times New Roman"/>
        </w:rPr>
        <w:t xml:space="preserve">töö </w:t>
      </w:r>
      <w:r w:rsidRPr="00A245DA">
        <w:rPr>
          <w:rFonts w:ascii="Times New Roman" w:hAnsi="Times New Roman" w:cs="Times New Roman"/>
        </w:rPr>
        <w:t>infrastruktuuri soetamise hanked)</w:t>
      </w:r>
      <w:r w:rsidR="0091063C" w:rsidRPr="00A245DA">
        <w:rPr>
          <w:rFonts w:ascii="Times New Roman" w:hAnsi="Times New Roman" w:cs="Times New Roman"/>
        </w:rPr>
        <w:t>,</w:t>
      </w:r>
      <w:r w:rsidRPr="00A245DA">
        <w:rPr>
          <w:rFonts w:ascii="Times New Roman" w:hAnsi="Times New Roman" w:cs="Times New Roman"/>
        </w:rPr>
        <w:t xml:space="preserve"> toetatud projektis kirjeldatud tegevuste väljundid on saavutatud ja taotleja esitab põhjendatud ettepaneku juba toetatud tegevuse jätkamiseks või laiendamiseks</w:t>
      </w:r>
      <w:r w:rsidR="00DE3DF3" w:rsidRPr="00A245DA">
        <w:rPr>
          <w:rFonts w:ascii="Times New Roman" w:hAnsi="Times New Roman" w:cs="Times New Roman"/>
        </w:rPr>
        <w:t xml:space="preserve"> või </w:t>
      </w:r>
      <w:r w:rsidR="0091063C" w:rsidRPr="00A245DA">
        <w:rPr>
          <w:rFonts w:ascii="Times New Roman" w:hAnsi="Times New Roman" w:cs="Times New Roman"/>
        </w:rPr>
        <w:t xml:space="preserve">taotletakse toetust </w:t>
      </w:r>
      <w:r w:rsidR="004B1B03" w:rsidRPr="00A245DA">
        <w:rPr>
          <w:rFonts w:ascii="Times New Roman" w:hAnsi="Times New Roman" w:cs="Times New Roman"/>
        </w:rPr>
        <w:t>projektidele, mille tegevuste laiendamine tuleneb riigi strateegilistest prioriteetidest.</w:t>
      </w:r>
    </w:p>
    <w:p w14:paraId="003A4A39" w14:textId="77777777" w:rsidR="00777EA4" w:rsidRPr="00A245DA" w:rsidRDefault="00777EA4" w:rsidP="00777EA4">
      <w:pPr>
        <w:pStyle w:val="NoSpacing"/>
        <w:jc w:val="both"/>
        <w:rPr>
          <w:rFonts w:ascii="Times New Roman" w:hAnsi="Times New Roman" w:cs="Times New Roman"/>
          <w:b/>
        </w:rPr>
      </w:pPr>
      <w:r w:rsidRPr="00A245DA">
        <w:rPr>
          <w:rFonts w:ascii="Times New Roman" w:hAnsi="Times New Roman" w:cs="Times New Roman"/>
        </w:rPr>
        <w:t xml:space="preserve">Investeeringute kava muutmise eelnõu esitab Vabariigi Valitsusele kinnitamiseks rakendusasutus. </w:t>
      </w:r>
    </w:p>
    <w:p w14:paraId="01BECF1E" w14:textId="77777777" w:rsidR="00777EA4" w:rsidRPr="00A245DA" w:rsidRDefault="00777EA4" w:rsidP="009C6B57">
      <w:pPr>
        <w:spacing w:before="0" w:after="0"/>
        <w:rPr>
          <w:rFonts w:ascii="Times New Roman" w:eastAsiaTheme="minorHAnsi" w:hAnsi="Times New Roman"/>
          <w:u w:val="single"/>
        </w:rPr>
      </w:pPr>
    </w:p>
    <w:p w14:paraId="60DEA293" w14:textId="1E902234" w:rsidR="009C6B57" w:rsidRPr="00A245DA" w:rsidRDefault="009C6B57" w:rsidP="009C6B57">
      <w:pPr>
        <w:spacing w:before="0" w:after="0"/>
        <w:rPr>
          <w:rFonts w:ascii="Times New Roman" w:hAnsi="Times New Roman"/>
          <w:lang w:eastAsia="et-EE"/>
        </w:rPr>
      </w:pPr>
      <w:r w:rsidRPr="00A245DA">
        <w:rPr>
          <w:rFonts w:ascii="Times New Roman" w:eastAsiaTheme="minorHAnsi" w:hAnsi="Times New Roman"/>
          <w:u w:val="single"/>
        </w:rPr>
        <w:t>Eelnõu § 17</w:t>
      </w:r>
      <w:r w:rsidRPr="00A245DA">
        <w:rPr>
          <w:rFonts w:ascii="Times New Roman" w:eastAsiaTheme="minorHAnsi" w:hAnsi="Times New Roman"/>
        </w:rPr>
        <w:t xml:space="preserve"> sätestab investeeringute kavasse mittearvamisest </w:t>
      </w:r>
      <w:r w:rsidR="00FD5486" w:rsidRPr="00A245DA">
        <w:rPr>
          <w:rFonts w:ascii="Times New Roman" w:eastAsiaTheme="minorHAnsi" w:hAnsi="Times New Roman"/>
        </w:rPr>
        <w:t xml:space="preserve">ja ettepaneku rahuldamata jätmise otsusest </w:t>
      </w:r>
      <w:r w:rsidRPr="00A245DA">
        <w:rPr>
          <w:rFonts w:ascii="Times New Roman" w:eastAsiaTheme="minorHAnsi" w:hAnsi="Times New Roman"/>
        </w:rPr>
        <w:t xml:space="preserve">teavitamise korra. Kui projekti ei arvata investeeringute kavasse, teeb rakendusasutus </w:t>
      </w:r>
      <w:r w:rsidR="00FD5486" w:rsidRPr="00A245DA">
        <w:rPr>
          <w:rFonts w:ascii="Times New Roman" w:eastAsiaTheme="minorHAnsi" w:hAnsi="Times New Roman"/>
        </w:rPr>
        <w:t xml:space="preserve">rakendusüksuse ettepaneku alusel </w:t>
      </w:r>
      <w:r w:rsidRPr="00A245DA">
        <w:rPr>
          <w:rFonts w:ascii="Times New Roman" w:eastAsiaTheme="minorHAnsi" w:hAnsi="Times New Roman"/>
        </w:rPr>
        <w:t xml:space="preserve">kavasse arvamata jätmise otsuse. </w:t>
      </w:r>
      <w:r w:rsidRPr="00A245DA">
        <w:rPr>
          <w:rFonts w:ascii="Times New Roman" w:hAnsi="Times New Roman"/>
          <w:lang w:eastAsia="et-EE"/>
        </w:rPr>
        <w:t xml:space="preserve">Kui investeeringute kavasse ei arvata riigiasutuse projekti, teavitab rakendusasutus seda riigiasutust vastavalt perioodi 2014-2020 struktuuritoetuse seaduse §-le 15 lõikele 7. Kavasse arvamata jätmise otsusest teavitatakse ettepaneku esitajat </w:t>
      </w:r>
      <w:r w:rsidR="00FD5486" w:rsidRPr="00A245DA">
        <w:rPr>
          <w:rFonts w:ascii="Times New Roman" w:hAnsi="Times New Roman"/>
          <w:lang w:eastAsia="et-EE"/>
        </w:rPr>
        <w:t xml:space="preserve">ja rakendusüksust </w:t>
      </w:r>
      <w:r w:rsidRPr="00A245DA">
        <w:rPr>
          <w:rFonts w:ascii="Times New Roman" w:hAnsi="Times New Roman"/>
          <w:lang w:eastAsia="et-EE"/>
        </w:rPr>
        <w:t xml:space="preserve">viivitamatult pärast </w:t>
      </w:r>
      <w:r w:rsidR="007818B9" w:rsidRPr="00A245DA">
        <w:rPr>
          <w:rFonts w:ascii="Times New Roman" w:hAnsi="Times New Roman"/>
          <w:lang w:eastAsia="et-EE"/>
        </w:rPr>
        <w:t>kavasse arvamata jätmise otsuse tegemist</w:t>
      </w:r>
      <w:r w:rsidRPr="00A245DA">
        <w:rPr>
          <w:rFonts w:ascii="Times New Roman" w:hAnsi="Times New Roman"/>
          <w:lang w:eastAsia="et-EE"/>
        </w:rPr>
        <w:t>.</w:t>
      </w:r>
      <w:r w:rsidR="00FD5486" w:rsidRPr="00A245DA">
        <w:rPr>
          <w:rFonts w:ascii="Times New Roman" w:hAnsi="Times New Roman"/>
          <w:lang w:eastAsia="et-EE"/>
        </w:rPr>
        <w:t xml:space="preserve"> Kui tegemist on ettepanekutega, mis ei sisalda investeeringuid, teeb rakendusüksus ettepaneku rahuldamata jätmise otsuse, milles teavitatakse ettepaneku esitajat viivitamatult.</w:t>
      </w:r>
    </w:p>
    <w:p w14:paraId="580FC2A8" w14:textId="77777777" w:rsidR="009C6B57" w:rsidRPr="00A245DA" w:rsidRDefault="009C6B57" w:rsidP="009C6B57">
      <w:pPr>
        <w:spacing w:before="0" w:after="0"/>
        <w:rPr>
          <w:rFonts w:ascii="Times New Roman" w:hAnsi="Times New Roman"/>
          <w:lang w:eastAsia="et-EE"/>
        </w:rPr>
      </w:pPr>
    </w:p>
    <w:p w14:paraId="6FAB9E64" w14:textId="77777777" w:rsidR="009C6B57" w:rsidRPr="00A245DA" w:rsidRDefault="009C6B57" w:rsidP="009C6B57">
      <w:pPr>
        <w:spacing w:before="0" w:after="0"/>
        <w:jc w:val="left"/>
        <w:rPr>
          <w:rFonts w:ascii="Times New Roman" w:eastAsiaTheme="minorHAnsi" w:hAnsi="Times New Roman"/>
          <w:b/>
          <w:u w:val="single"/>
        </w:rPr>
      </w:pPr>
      <w:r w:rsidRPr="00A245DA">
        <w:rPr>
          <w:rFonts w:ascii="Times New Roman" w:eastAsiaTheme="minorHAnsi" w:hAnsi="Times New Roman"/>
          <w:b/>
          <w:u w:val="single"/>
        </w:rPr>
        <w:t xml:space="preserve">Eelnõu 5. peatükis </w:t>
      </w:r>
    </w:p>
    <w:p w14:paraId="25E849BB" w14:textId="77777777" w:rsidR="009C6B57" w:rsidRPr="00A245DA" w:rsidRDefault="009C6B57" w:rsidP="009C6B57">
      <w:pPr>
        <w:spacing w:before="0" w:after="0"/>
        <w:rPr>
          <w:rFonts w:ascii="Times New Roman" w:eastAsiaTheme="minorHAnsi" w:hAnsi="Times New Roman"/>
        </w:rPr>
      </w:pPr>
      <w:r w:rsidRPr="00A245DA">
        <w:rPr>
          <w:rFonts w:ascii="Times New Roman" w:eastAsiaTheme="minorHAnsi" w:hAnsi="Times New Roman"/>
        </w:rPr>
        <w:t>kirjeldatakse taotluse esitamise tingimusi, sätestatakse nõuded taotlejale, partnerile, taotlusele ja kohustused taotlejale.</w:t>
      </w:r>
    </w:p>
    <w:p w14:paraId="731DB523" w14:textId="60E82774" w:rsidR="009C6B57" w:rsidRPr="00A245DA" w:rsidRDefault="009C6B57" w:rsidP="00FD5486">
      <w:pPr>
        <w:spacing w:after="100" w:afterAutospacing="1"/>
        <w:rPr>
          <w:rFonts w:ascii="Times New Roman" w:hAnsi="Times New Roman"/>
          <w:lang w:eastAsia="et-EE"/>
        </w:rPr>
      </w:pPr>
      <w:r w:rsidRPr="00A245DA">
        <w:rPr>
          <w:rFonts w:ascii="Times New Roman" w:eastAsiaTheme="minorHAnsi" w:hAnsi="Times New Roman"/>
          <w:u w:val="single"/>
        </w:rPr>
        <w:t xml:space="preserve">Eelnõu § 18 </w:t>
      </w:r>
      <w:r w:rsidRPr="00A245DA">
        <w:rPr>
          <w:rFonts w:ascii="Times New Roman" w:eastAsiaTheme="minorHAnsi" w:hAnsi="Times New Roman"/>
        </w:rPr>
        <w:t xml:space="preserve">sätestab taotluste esitamisega seonduva. Taotleja saab </w:t>
      </w:r>
      <w:r w:rsidR="00FD5486" w:rsidRPr="00A245DA">
        <w:rPr>
          <w:rFonts w:ascii="Times New Roman" w:eastAsiaTheme="minorHAnsi" w:hAnsi="Times New Roman"/>
        </w:rPr>
        <w:t xml:space="preserve">rakendusüksusele esitada taotluse nii investeeringute kavas sisalduva </w:t>
      </w:r>
      <w:r w:rsidR="00FD5486" w:rsidRPr="00A245DA">
        <w:rPr>
          <w:rFonts w:ascii="Times New Roman" w:eastAsia="Calibri" w:hAnsi="Times New Roman"/>
        </w:rPr>
        <w:t xml:space="preserve">investeeringuid sisalduva </w:t>
      </w:r>
      <w:r w:rsidR="00FD5486" w:rsidRPr="00A245DA">
        <w:rPr>
          <w:rFonts w:ascii="Times New Roman" w:eastAsia="Calibri" w:hAnsi="Times New Roman"/>
          <w:lang w:eastAsia="et-EE"/>
        </w:rPr>
        <w:t>projekti kohta kui ka hindamiskomisjoni poolt heakskiidu saanud projekti kohta, mis ei sisalda investeeringuid.</w:t>
      </w:r>
      <w:r w:rsidR="00FD5486" w:rsidRPr="00A245DA">
        <w:rPr>
          <w:rFonts w:ascii="Times New Roman" w:eastAsia="Calibri" w:hAnsi="Times New Roman"/>
        </w:rPr>
        <w:t xml:space="preserve"> </w:t>
      </w:r>
      <w:r w:rsidR="00DD1A79" w:rsidRPr="00A245DA">
        <w:rPr>
          <w:rFonts w:ascii="Times New Roman" w:eastAsiaTheme="minorHAnsi" w:hAnsi="Times New Roman"/>
        </w:rPr>
        <w:t>T</w:t>
      </w:r>
      <w:r w:rsidRPr="00A245DA">
        <w:rPr>
          <w:rFonts w:ascii="Times New Roman" w:eastAsiaTheme="minorHAnsi" w:hAnsi="Times New Roman"/>
        </w:rPr>
        <w:t>aotlus tuleb rakendusüksusele esitada hiljemalt 6 kuu jooksul investeeringute kava kinnitamisest Vabariigi Valit</w:t>
      </w:r>
      <w:r w:rsidR="00C936C2" w:rsidRPr="00A245DA">
        <w:rPr>
          <w:rFonts w:ascii="Times New Roman" w:eastAsiaTheme="minorHAnsi" w:hAnsi="Times New Roman"/>
        </w:rPr>
        <w:t>s</w:t>
      </w:r>
      <w:r w:rsidR="00DD1A79" w:rsidRPr="00A245DA">
        <w:rPr>
          <w:rFonts w:ascii="Times New Roman" w:eastAsiaTheme="minorHAnsi" w:hAnsi="Times New Roman"/>
        </w:rPr>
        <w:t>use poolt</w:t>
      </w:r>
      <w:r w:rsidR="00FD5486" w:rsidRPr="00A245DA">
        <w:rPr>
          <w:rFonts w:ascii="Times New Roman" w:eastAsiaTheme="minorHAnsi" w:hAnsi="Times New Roman"/>
        </w:rPr>
        <w:t xml:space="preserve"> </w:t>
      </w:r>
      <w:r w:rsidR="00DD1A79" w:rsidRPr="00A245DA">
        <w:rPr>
          <w:rFonts w:ascii="Times New Roman" w:hAnsi="Times New Roman"/>
          <w:lang w:eastAsia="et-EE"/>
        </w:rPr>
        <w:t xml:space="preserve">või hindamiskomisjoni poolt heakskiidu saamist </w:t>
      </w:r>
      <w:r w:rsidR="00FD5486" w:rsidRPr="00A245DA">
        <w:rPr>
          <w:rFonts w:ascii="Times New Roman" w:hAnsi="Times New Roman"/>
          <w:lang w:eastAsia="et-EE"/>
        </w:rPr>
        <w:t>(</w:t>
      </w:r>
      <w:r w:rsidR="00FD5486" w:rsidRPr="00A245DA">
        <w:rPr>
          <w:rFonts w:ascii="Times New Roman" w:eastAsia="Calibri" w:hAnsi="Times New Roman"/>
          <w:lang w:eastAsia="et-EE"/>
        </w:rPr>
        <w:t xml:space="preserve">rakendusüksuse poolt teate saatmisest ettepaneku </w:t>
      </w:r>
      <w:r w:rsidR="007D1F5E" w:rsidRPr="00A245DA">
        <w:rPr>
          <w:rFonts w:ascii="Times New Roman" w:eastAsia="Calibri" w:hAnsi="Times New Roman"/>
          <w:lang w:eastAsia="et-EE"/>
        </w:rPr>
        <w:t>lävendit ületanud ettepanekute nimekirja</w:t>
      </w:r>
      <w:r w:rsidR="00FD5486" w:rsidRPr="00A245DA">
        <w:rPr>
          <w:rFonts w:ascii="Times New Roman" w:eastAsia="Calibri" w:hAnsi="Times New Roman"/>
          <w:lang w:eastAsia="et-EE"/>
        </w:rPr>
        <w:t xml:space="preserve"> arvamise kohta)</w:t>
      </w:r>
      <w:r w:rsidR="00DD1A79" w:rsidRPr="00A245DA">
        <w:rPr>
          <w:rFonts w:ascii="Times New Roman" w:hAnsi="Times New Roman"/>
          <w:lang w:eastAsia="et-EE"/>
        </w:rPr>
        <w:t>.</w:t>
      </w:r>
      <w:r w:rsidRPr="00A245DA">
        <w:rPr>
          <w:rFonts w:ascii="Times New Roman" w:eastAsiaTheme="minorHAnsi" w:hAnsi="Times New Roman"/>
        </w:rPr>
        <w:t xml:space="preserve"> Põhjendatud juhtudel  ja rakendusüksuse </w:t>
      </w:r>
      <w:r w:rsidRPr="00A245DA">
        <w:rPr>
          <w:rFonts w:ascii="Times New Roman" w:eastAsiaTheme="minorHAnsi" w:hAnsi="Times New Roman"/>
        </w:rPr>
        <w:lastRenderedPageBreak/>
        <w:t>nõusolekul on lubatud ka taotluse hilisem esitamine. See on võimalik, kui eelnevalt esitatakse rakendusüksusele vastavasisuline põhjendatud avaldus ja rakendusüksus</w:t>
      </w:r>
      <w:r w:rsidR="00EF577A" w:rsidRPr="00A245DA">
        <w:rPr>
          <w:rFonts w:ascii="Times New Roman" w:eastAsiaTheme="minorHAnsi" w:hAnsi="Times New Roman"/>
        </w:rPr>
        <w:t xml:space="preserve"> on</w:t>
      </w:r>
      <w:r w:rsidRPr="00A245DA">
        <w:rPr>
          <w:rFonts w:ascii="Times New Roman" w:eastAsiaTheme="minorHAnsi" w:hAnsi="Times New Roman"/>
        </w:rPr>
        <w:t xml:space="preserve"> pikendamisega nõus. Taotlused esitatakse rakendusüksusele </w:t>
      </w:r>
      <w:r w:rsidRPr="00A245DA">
        <w:rPr>
          <w:rFonts w:ascii="Times New Roman" w:hAnsi="Times New Roman"/>
          <w:lang w:eastAsia="et-EE"/>
        </w:rPr>
        <w:t>digitaalselt.</w:t>
      </w:r>
    </w:p>
    <w:p w14:paraId="06634530" w14:textId="1FA49583" w:rsidR="00DC6E81" w:rsidRPr="00A245DA" w:rsidRDefault="009C6B57" w:rsidP="005E0EC9">
      <w:pPr>
        <w:spacing w:after="100" w:afterAutospacing="1"/>
        <w:rPr>
          <w:rFonts w:ascii="Times New Roman" w:hAnsi="Times New Roman"/>
        </w:rPr>
      </w:pPr>
      <w:r w:rsidRPr="00A245DA">
        <w:rPr>
          <w:rFonts w:ascii="Times New Roman" w:hAnsi="Times New Roman"/>
          <w:u w:val="single"/>
          <w:lang w:eastAsia="et-EE"/>
        </w:rPr>
        <w:t xml:space="preserve">Eelnõu § 19 </w:t>
      </w:r>
      <w:r w:rsidRPr="00A245DA">
        <w:rPr>
          <w:rFonts w:ascii="Times New Roman" w:hAnsi="Times New Roman"/>
          <w:lang w:eastAsia="et-EE"/>
        </w:rPr>
        <w:t xml:space="preserve">sätestab nõuded taotlejale ja partnerile. </w:t>
      </w:r>
      <w:r w:rsidR="00DD1A79" w:rsidRPr="00A245DA">
        <w:rPr>
          <w:rFonts w:ascii="Times New Roman" w:hAnsi="Times New Roman"/>
          <w:lang w:eastAsia="et-EE"/>
        </w:rPr>
        <w:t>N</w:t>
      </w:r>
      <w:r w:rsidRPr="00A245DA">
        <w:rPr>
          <w:rFonts w:ascii="Times New Roman" w:hAnsi="Times New Roman"/>
          <w:lang w:eastAsia="et-EE"/>
        </w:rPr>
        <w:t xml:space="preserve">ii taotleja kui ka partner peavad vastama </w:t>
      </w:r>
      <w:r w:rsidRPr="00A245DA">
        <w:rPr>
          <w:rFonts w:ascii="Times New Roman" w:hAnsi="Times New Roman"/>
        </w:rPr>
        <w:t>määruse § 1</w:t>
      </w:r>
      <w:r w:rsidR="000F71EA" w:rsidRPr="00A245DA">
        <w:rPr>
          <w:rFonts w:ascii="Times New Roman" w:hAnsi="Times New Roman"/>
        </w:rPr>
        <w:t>0</w:t>
      </w:r>
      <w:r w:rsidRPr="00A245DA">
        <w:rPr>
          <w:rFonts w:ascii="Times New Roman" w:hAnsi="Times New Roman"/>
        </w:rPr>
        <w:t xml:space="preserve"> lõikes 1 ja taotluste menetlemise määruse</w:t>
      </w:r>
      <w:r w:rsidRPr="00A245DA">
        <w:rPr>
          <w:rFonts w:ascii="Times New Roman" w:hAnsi="Times New Roman"/>
          <w:i/>
        </w:rPr>
        <w:t xml:space="preserve"> </w:t>
      </w:r>
      <w:r w:rsidRPr="00A245DA">
        <w:rPr>
          <w:rFonts w:ascii="Times New Roman" w:hAnsi="Times New Roman"/>
        </w:rPr>
        <w:t>§ 2 punktides 1 ja 2 sätestatule.</w:t>
      </w:r>
      <w:r w:rsidR="00297E0D" w:rsidRPr="00A245DA">
        <w:rPr>
          <w:rFonts w:ascii="Times New Roman" w:hAnsi="Times New Roman"/>
        </w:rPr>
        <w:t xml:space="preserve"> Seega ASTRA-st toetuse saamine nii taotlejana kui partnerina piirdub kindla sihtgrupiga, mis on § 10 lõikes 1 nimetatud. Asutusel on võimalik osaleda partnerina näiteks doktoriõppe kvaliteedi ja efektiivsuse tõstmise tegevuspaketis</w:t>
      </w:r>
      <w:r w:rsidR="00A27A72" w:rsidRPr="00A245DA">
        <w:rPr>
          <w:rFonts w:ascii="Times New Roman" w:hAnsi="Times New Roman"/>
        </w:rPr>
        <w:t>,</w:t>
      </w:r>
      <w:r w:rsidR="00297E0D" w:rsidRPr="00A245DA">
        <w:rPr>
          <w:rFonts w:ascii="Times New Roman" w:hAnsi="Times New Roman"/>
        </w:rPr>
        <w:t xml:space="preserve"> kui asutuse enda ettepanek</w:t>
      </w:r>
      <w:r w:rsidR="00C45FDB" w:rsidRPr="00A245DA">
        <w:rPr>
          <w:rFonts w:ascii="Times New Roman" w:hAnsi="Times New Roman"/>
        </w:rPr>
        <w:t xml:space="preserve"> ei ületanud hindamise tulemusel seatud lävendeid</w:t>
      </w:r>
      <w:r w:rsidR="00297E0D" w:rsidRPr="00A245DA">
        <w:rPr>
          <w:rFonts w:ascii="Times New Roman" w:hAnsi="Times New Roman"/>
        </w:rPr>
        <w:t xml:space="preserve">, kuid doktoriõppe arendamisel on eeltingimuseks ülikoolide ühine koostöö ja </w:t>
      </w:r>
      <w:r w:rsidR="00EF4C26" w:rsidRPr="00A245DA">
        <w:rPr>
          <w:rFonts w:ascii="Times New Roman" w:hAnsi="Times New Roman"/>
        </w:rPr>
        <w:t>läbi partnerlussuhte on võimalik tagada doktorikooli toimimine ülikoolide koostöös. S</w:t>
      </w:r>
      <w:r w:rsidR="00297E0D" w:rsidRPr="00A245DA">
        <w:rPr>
          <w:rFonts w:ascii="Times New Roman" w:hAnsi="Times New Roman"/>
        </w:rPr>
        <w:t>e</w:t>
      </w:r>
      <w:r w:rsidR="00EF4C26" w:rsidRPr="00A245DA">
        <w:rPr>
          <w:rFonts w:ascii="Times New Roman" w:hAnsi="Times New Roman"/>
        </w:rPr>
        <w:t>l moel jäävad</w:t>
      </w:r>
      <w:r w:rsidR="00297E0D" w:rsidRPr="00A245DA">
        <w:rPr>
          <w:rFonts w:ascii="Times New Roman" w:hAnsi="Times New Roman"/>
        </w:rPr>
        <w:t xml:space="preserve"> toetatavad tegevused avatuks kõigile sihtgruppi kuuluvaile doktorantidele. </w:t>
      </w:r>
    </w:p>
    <w:p w14:paraId="2B23A505" w14:textId="7CA54C79" w:rsidR="009C6B57" w:rsidRPr="00A245DA" w:rsidRDefault="009C6B57" w:rsidP="00886B22">
      <w:pPr>
        <w:spacing w:before="0" w:after="0"/>
        <w:rPr>
          <w:rFonts w:ascii="Times New Roman" w:hAnsi="Times New Roman"/>
          <w:lang w:eastAsia="et-EE"/>
        </w:rPr>
      </w:pPr>
      <w:r w:rsidRPr="00A245DA">
        <w:rPr>
          <w:rFonts w:ascii="Times New Roman" w:hAnsi="Times New Roman"/>
          <w:u w:val="single"/>
          <w:lang w:eastAsia="et-EE"/>
        </w:rPr>
        <w:t xml:space="preserve">Eelnõu §-s 20 </w:t>
      </w:r>
      <w:r w:rsidRPr="00A245DA">
        <w:rPr>
          <w:rFonts w:ascii="Times New Roman" w:hAnsi="Times New Roman"/>
          <w:lang w:eastAsia="et-EE"/>
        </w:rPr>
        <w:t xml:space="preserve">on ära toodud taotleja kohustused. </w:t>
      </w:r>
      <w:r w:rsidR="00886B22" w:rsidRPr="00A245DA">
        <w:rPr>
          <w:rFonts w:ascii="Times New Roman" w:hAnsi="Times New Roman"/>
          <w:lang w:eastAsia="et-EE"/>
        </w:rPr>
        <w:t xml:space="preserve">Taotleja kohustused tulenevad STS § 21 lõikest 2. </w:t>
      </w:r>
    </w:p>
    <w:p w14:paraId="117E73E1" w14:textId="77777777" w:rsidR="009C6B57" w:rsidRPr="00A245DA" w:rsidRDefault="009C6B57" w:rsidP="009C6B57">
      <w:pPr>
        <w:spacing w:before="0" w:after="0"/>
        <w:rPr>
          <w:rFonts w:ascii="Times New Roman" w:hAnsi="Times New Roman"/>
          <w:lang w:eastAsia="et-EE"/>
        </w:rPr>
      </w:pPr>
    </w:p>
    <w:p w14:paraId="3B304805" w14:textId="77777777" w:rsidR="009C6B57" w:rsidRPr="00A245DA" w:rsidRDefault="009C6B57" w:rsidP="009C6B57">
      <w:pPr>
        <w:spacing w:before="0" w:after="0"/>
        <w:rPr>
          <w:rFonts w:ascii="Times New Roman" w:hAnsi="Times New Roman"/>
          <w:lang w:eastAsia="et-EE"/>
        </w:rPr>
      </w:pPr>
      <w:r w:rsidRPr="00A245DA">
        <w:rPr>
          <w:rFonts w:ascii="Times New Roman" w:hAnsi="Times New Roman"/>
          <w:u w:val="single"/>
          <w:lang w:eastAsia="et-EE"/>
        </w:rPr>
        <w:t>Eelnõu § 21</w:t>
      </w:r>
      <w:r w:rsidRPr="00A245DA">
        <w:rPr>
          <w:rFonts w:ascii="Times New Roman" w:hAnsi="Times New Roman"/>
          <w:lang w:eastAsia="et-EE"/>
        </w:rPr>
        <w:t xml:space="preserve"> sätestab nõuded taotlusele. Taotlus peab lisaks taotluste menetlemise määruse § 4 lõigetes 1 ja 2 sätestatule vastama järgmistele punktidele:</w:t>
      </w:r>
    </w:p>
    <w:p w14:paraId="4647B405" w14:textId="77777777" w:rsidR="009C6B57" w:rsidRPr="00A245DA" w:rsidRDefault="009C6B57" w:rsidP="009C6B57">
      <w:pPr>
        <w:spacing w:before="0" w:after="0"/>
        <w:rPr>
          <w:rFonts w:ascii="Times New Roman" w:hAnsi="Times New Roman"/>
          <w:lang w:eastAsia="et-EE"/>
        </w:rPr>
      </w:pPr>
    </w:p>
    <w:p w14:paraId="47D1F33E" w14:textId="50E36AB9" w:rsidR="009C6B57" w:rsidRPr="00A245DA" w:rsidRDefault="009C6B57" w:rsidP="00456FE0">
      <w:pPr>
        <w:numPr>
          <w:ilvl w:val="0"/>
          <w:numId w:val="14"/>
        </w:numPr>
        <w:spacing w:before="0" w:after="0"/>
        <w:contextualSpacing/>
        <w:rPr>
          <w:rFonts w:ascii="Times New Roman" w:eastAsiaTheme="minorHAnsi" w:hAnsi="Times New Roman"/>
          <w:lang w:eastAsia="et-EE"/>
        </w:rPr>
      </w:pPr>
      <w:r w:rsidRPr="00A245DA">
        <w:rPr>
          <w:rFonts w:ascii="Times New Roman" w:eastAsiaTheme="minorHAnsi" w:hAnsi="Times New Roman"/>
          <w:lang w:eastAsia="et-EE"/>
        </w:rPr>
        <w:t xml:space="preserve">taotlus peab olema kooskõlas varem esitatud ettepanekuga ja kui hindamiskomisjon on </w:t>
      </w:r>
      <w:r w:rsidR="000F71EA" w:rsidRPr="00A245DA">
        <w:rPr>
          <w:rFonts w:ascii="Times New Roman" w:eastAsiaTheme="minorHAnsi" w:hAnsi="Times New Roman"/>
          <w:lang w:eastAsia="et-EE"/>
        </w:rPr>
        <w:t>esitanud</w:t>
      </w:r>
      <w:r w:rsidRPr="00A245DA">
        <w:rPr>
          <w:rFonts w:ascii="Times New Roman" w:eastAsiaTheme="minorHAnsi" w:hAnsi="Times New Roman"/>
          <w:lang w:eastAsia="et-EE"/>
        </w:rPr>
        <w:t xml:space="preserve"> projektile täiendavaid tingimusi</w:t>
      </w:r>
      <w:r w:rsidR="000F71EA" w:rsidRPr="00A245DA">
        <w:rPr>
          <w:rFonts w:ascii="Times New Roman" w:eastAsiaTheme="minorHAnsi" w:hAnsi="Times New Roman"/>
          <w:lang w:eastAsia="et-EE"/>
        </w:rPr>
        <w:t>,</w:t>
      </w:r>
      <w:r w:rsidRPr="00A245DA">
        <w:rPr>
          <w:rFonts w:ascii="Times New Roman" w:eastAsiaTheme="minorHAnsi" w:hAnsi="Times New Roman"/>
          <w:lang w:eastAsia="et-EE"/>
        </w:rPr>
        <w:t xml:space="preserve"> siis ka nendega peab olema arvestatud. Samuti peab toetuse summa vastama investeeringute kavas </w:t>
      </w:r>
      <w:r w:rsidR="001A36E9" w:rsidRPr="00A245DA">
        <w:rPr>
          <w:rFonts w:ascii="Times New Roman" w:eastAsiaTheme="minorHAnsi" w:hAnsi="Times New Roman"/>
          <w:lang w:eastAsia="et-EE"/>
        </w:rPr>
        <w:t xml:space="preserve">või projekti pingeritta arvamisel </w:t>
      </w:r>
      <w:r w:rsidRPr="00A245DA">
        <w:rPr>
          <w:rFonts w:ascii="Times New Roman" w:eastAsiaTheme="minorHAnsi" w:hAnsi="Times New Roman"/>
          <w:lang w:eastAsia="et-EE"/>
        </w:rPr>
        <w:t>kinnitatud toetuse summale.</w:t>
      </w:r>
    </w:p>
    <w:p w14:paraId="6A163EFA" w14:textId="23E225F8" w:rsidR="009C6B57" w:rsidRPr="00A245DA" w:rsidRDefault="009C6B57" w:rsidP="00456FE0">
      <w:pPr>
        <w:numPr>
          <w:ilvl w:val="0"/>
          <w:numId w:val="14"/>
        </w:numPr>
        <w:spacing w:before="0" w:after="0"/>
        <w:contextualSpacing/>
        <w:rPr>
          <w:rFonts w:ascii="Times New Roman" w:eastAsiaTheme="minorHAnsi" w:hAnsi="Times New Roman"/>
          <w:lang w:eastAsia="et-EE"/>
        </w:rPr>
      </w:pPr>
      <w:r w:rsidRPr="00A245DA">
        <w:rPr>
          <w:rFonts w:ascii="Times New Roman" w:eastAsiaTheme="minorHAnsi" w:hAnsi="Times New Roman"/>
          <w:lang w:eastAsia="et-EE"/>
        </w:rPr>
        <w:t>taotluses peab olema märgitud projekti tegevuste elluviimise eeldatav ajakava, samuti projekti kogueelarve eesmärkide</w:t>
      </w:r>
      <w:r w:rsidR="00E76D68" w:rsidRPr="00A245DA">
        <w:rPr>
          <w:rFonts w:ascii="Times New Roman" w:eastAsiaTheme="minorHAnsi" w:hAnsi="Times New Roman"/>
          <w:lang w:eastAsia="et-EE"/>
        </w:rPr>
        <w:t>, tulemuste,</w:t>
      </w:r>
      <w:r w:rsidRPr="00A245DA">
        <w:rPr>
          <w:rFonts w:ascii="Times New Roman" w:eastAsiaTheme="minorHAnsi" w:hAnsi="Times New Roman"/>
          <w:lang w:eastAsia="et-EE"/>
        </w:rPr>
        <w:t xml:space="preserve"> tegevuste </w:t>
      </w:r>
      <w:r w:rsidR="00E76D68" w:rsidRPr="00A245DA">
        <w:rPr>
          <w:rFonts w:ascii="Times New Roman" w:eastAsiaTheme="minorHAnsi" w:hAnsi="Times New Roman"/>
          <w:lang w:eastAsia="et-EE"/>
        </w:rPr>
        <w:t xml:space="preserve">ja väljundite </w:t>
      </w:r>
      <w:r w:rsidRPr="00A245DA">
        <w:rPr>
          <w:rFonts w:ascii="Times New Roman" w:eastAsiaTheme="minorHAnsi" w:hAnsi="Times New Roman"/>
          <w:lang w:eastAsia="et-EE"/>
        </w:rPr>
        <w:t>lõikes</w:t>
      </w:r>
      <w:r w:rsidR="001A36E9" w:rsidRPr="00A245DA">
        <w:rPr>
          <w:rFonts w:ascii="Times New Roman" w:eastAsiaTheme="minorHAnsi" w:hAnsi="Times New Roman"/>
          <w:lang w:eastAsia="et-EE"/>
        </w:rPr>
        <w:t>,</w:t>
      </w:r>
      <w:r w:rsidRPr="00A245DA">
        <w:rPr>
          <w:rFonts w:ascii="Times New Roman" w:eastAsiaTheme="minorHAnsi" w:hAnsi="Times New Roman"/>
          <w:lang w:eastAsia="et-EE"/>
        </w:rPr>
        <w:t xml:space="preserve"> eristades sh abikõlblike ja mitteabikõlblike kulude summad</w:t>
      </w:r>
      <w:r w:rsidR="001A36E9" w:rsidRPr="00A245DA">
        <w:rPr>
          <w:rFonts w:ascii="Times New Roman" w:eastAsiaTheme="minorHAnsi" w:hAnsi="Times New Roman"/>
          <w:lang w:eastAsia="et-EE"/>
        </w:rPr>
        <w:t>, esimese kalendriaasta maksete ajakava, tegevuskava ning eelarve</w:t>
      </w:r>
      <w:r w:rsidRPr="00A245DA">
        <w:rPr>
          <w:rFonts w:ascii="Times New Roman" w:eastAsiaTheme="minorHAnsi" w:hAnsi="Times New Roman"/>
          <w:lang w:eastAsia="et-EE"/>
        </w:rPr>
        <w:t>.</w:t>
      </w:r>
    </w:p>
    <w:p w14:paraId="727AE3B2" w14:textId="77777777" w:rsidR="009C6B57" w:rsidRPr="00A245DA" w:rsidRDefault="009C6B57" w:rsidP="00456FE0">
      <w:pPr>
        <w:numPr>
          <w:ilvl w:val="0"/>
          <w:numId w:val="14"/>
        </w:numPr>
        <w:spacing w:before="0" w:after="0"/>
        <w:contextualSpacing/>
        <w:rPr>
          <w:rFonts w:ascii="Times New Roman" w:eastAsiaTheme="minorHAnsi" w:hAnsi="Times New Roman"/>
          <w:lang w:eastAsia="et-EE"/>
        </w:rPr>
      </w:pPr>
      <w:r w:rsidRPr="00A245DA">
        <w:rPr>
          <w:rFonts w:ascii="Times New Roman" w:eastAsiaTheme="minorHAnsi" w:hAnsi="Times New Roman"/>
          <w:lang w:eastAsia="et-EE"/>
        </w:rPr>
        <w:t>Esitatud peab olema volikiri, kui isik, kes taotluse esitab, tegutseb volikirja alusel.</w:t>
      </w:r>
    </w:p>
    <w:p w14:paraId="6F7E0C90" w14:textId="73E06E02" w:rsidR="009C6B57" w:rsidRPr="00A245DA" w:rsidRDefault="009C6B57" w:rsidP="00390981">
      <w:pPr>
        <w:numPr>
          <w:ilvl w:val="0"/>
          <w:numId w:val="14"/>
        </w:numPr>
        <w:spacing w:before="0" w:after="0"/>
        <w:contextualSpacing/>
        <w:rPr>
          <w:rFonts w:ascii="Times New Roman" w:eastAsiaTheme="minorHAnsi" w:hAnsi="Times New Roman"/>
          <w:lang w:eastAsia="et-EE"/>
        </w:rPr>
      </w:pPr>
      <w:r w:rsidRPr="00A245DA">
        <w:rPr>
          <w:rFonts w:ascii="Times New Roman" w:eastAsiaTheme="minorHAnsi" w:hAnsi="Times New Roman"/>
          <w:lang w:eastAsia="et-EE"/>
        </w:rPr>
        <w:t xml:space="preserve">Kui on tegemist </w:t>
      </w:r>
      <w:r w:rsidRPr="00A245DA">
        <w:rPr>
          <w:rFonts w:ascii="Times New Roman" w:eastAsiaTheme="minorHAnsi" w:hAnsi="Times New Roman"/>
        </w:rPr>
        <w:t>teadus- ja õppehoonete</w:t>
      </w:r>
      <w:r w:rsidRPr="00A245DA">
        <w:rPr>
          <w:rFonts w:ascii="Times New Roman" w:hAnsi="Times New Roman"/>
          <w:bCs/>
          <w:lang w:eastAsia="et-EE"/>
        </w:rPr>
        <w:t xml:space="preserve"> </w:t>
      </w:r>
      <w:r w:rsidR="00FE0946" w:rsidRPr="00A245DA">
        <w:rPr>
          <w:rFonts w:ascii="Times New Roman" w:hAnsi="Times New Roman"/>
          <w:bCs/>
          <w:lang w:eastAsia="et-EE"/>
        </w:rPr>
        <w:t>rajamisega</w:t>
      </w:r>
      <w:r w:rsidRPr="00A245DA">
        <w:rPr>
          <w:rFonts w:ascii="Times New Roman" w:hAnsi="Times New Roman"/>
          <w:bCs/>
          <w:lang w:eastAsia="et-EE"/>
        </w:rPr>
        <w:t>, on vaja esitada ehituslik projektdokumentatsioon (sh koopia kehtivast detailplaneeringust, hoone ruumiprogramm, ehitusprojekti ekspertiisi hinnang</w:t>
      </w:r>
      <w:r w:rsidR="00390981" w:rsidRPr="00A245DA">
        <w:rPr>
          <w:rFonts w:ascii="Times New Roman" w:hAnsi="Times New Roman"/>
          <w:bCs/>
          <w:lang w:eastAsia="et-EE"/>
        </w:rPr>
        <w:t>, sh hinnang ehitise ja selle üldkasutatavate osade ning ruumide või alade ligipääsetavuse ja kasutatavuse kohta liikumis-, nägemis- ja kuulmispuudega inimestele</w:t>
      </w:r>
      <w:r w:rsidRPr="00A245DA">
        <w:rPr>
          <w:rFonts w:ascii="Times New Roman" w:hAnsi="Times New Roman"/>
          <w:bCs/>
          <w:lang w:eastAsia="et-EE"/>
        </w:rPr>
        <w:t xml:space="preserve">), projekti elluviimiseks vajalikud load ja kooskõlastused (sh ehitusluba), omandi- või rendisuhteid kinnitavad dokumendid, keskkonnamõju hindamise tulemus kui selle koostamine on vajalik tulenevalt keskkonnamõju hindamise ja keskkonnajuhtimissüsteemi seadusest. </w:t>
      </w:r>
      <w:r w:rsidR="000137E3" w:rsidRPr="00A245DA">
        <w:rPr>
          <w:rFonts w:ascii="Times New Roman" w:hAnsi="Times New Roman"/>
          <w:bCs/>
          <w:lang w:eastAsia="et-EE"/>
        </w:rPr>
        <w:t>Rekonstrueerimise puhul peab olema arvestatud energiaauditi tulemustega.</w:t>
      </w:r>
    </w:p>
    <w:p w14:paraId="6DF43E86" w14:textId="77777777" w:rsidR="00DC6E81" w:rsidRPr="00A245DA" w:rsidRDefault="009C6B57" w:rsidP="00DC6E81">
      <w:pPr>
        <w:numPr>
          <w:ilvl w:val="0"/>
          <w:numId w:val="14"/>
        </w:numPr>
        <w:spacing w:before="0" w:after="0"/>
        <w:contextualSpacing/>
        <w:rPr>
          <w:rFonts w:ascii="Times New Roman" w:eastAsiaTheme="minorHAnsi" w:hAnsi="Times New Roman"/>
          <w:lang w:eastAsia="et-EE"/>
        </w:rPr>
      </w:pPr>
      <w:r w:rsidRPr="00A245DA">
        <w:rPr>
          <w:rFonts w:ascii="Times New Roman" w:eastAsiaTheme="minorHAnsi" w:hAnsi="Times New Roman"/>
          <w:lang w:eastAsia="et-EE"/>
        </w:rPr>
        <w:t>Kui taotleja on projektile või projekti osadele tegevustele taotlenud toetust samal ajal mitmest meetmest või muudest riigieelarvelistest, Euroopa Liidu või välisabi vahenditest, on ka sellekohane teave vaja esitada.</w:t>
      </w:r>
    </w:p>
    <w:p w14:paraId="6E3AF6A1" w14:textId="40432D07" w:rsidR="001A36E9" w:rsidRPr="00A245DA" w:rsidRDefault="001A36E9" w:rsidP="00E10DA8">
      <w:pPr>
        <w:numPr>
          <w:ilvl w:val="0"/>
          <w:numId w:val="14"/>
        </w:numPr>
        <w:tabs>
          <w:tab w:val="left" w:pos="2891"/>
        </w:tabs>
        <w:spacing w:before="0" w:after="0"/>
        <w:contextualSpacing/>
        <w:rPr>
          <w:rFonts w:ascii="Times New Roman" w:hAnsi="Times New Roman"/>
          <w:bCs/>
        </w:rPr>
      </w:pPr>
      <w:r w:rsidRPr="00A245DA">
        <w:rPr>
          <w:rFonts w:ascii="Times New Roman" w:eastAsiaTheme="minorHAnsi" w:hAnsi="Times New Roman"/>
          <w:lang w:eastAsia="et-EE"/>
        </w:rPr>
        <w:t xml:space="preserve">Taotluses on esitatud </w:t>
      </w:r>
      <w:r w:rsidRPr="00A245DA">
        <w:rPr>
          <w:rFonts w:ascii="Times New Roman" w:eastAsia="Calibri" w:hAnsi="Times New Roman"/>
          <w:bCs/>
          <w:lang w:eastAsia="et-EE"/>
        </w:rPr>
        <w:t>kinnitus selle kohta, et taotleja on teadlik tingimusest</w:t>
      </w:r>
      <w:r w:rsidRPr="00A245DA">
        <w:rPr>
          <w:rFonts w:ascii="Times New Roman" w:eastAsia="Calibri" w:hAnsi="Times New Roman"/>
          <w:lang w:eastAsia="et-EE"/>
        </w:rPr>
        <w:t xml:space="preserve">, et kui toetust kasutatakse majandustegevuseks ning </w:t>
      </w:r>
      <w:r w:rsidR="004110AB" w:rsidRPr="00A245DA">
        <w:rPr>
          <w:rFonts w:ascii="Times New Roman" w:eastAsia="Calibri" w:hAnsi="Times New Roman"/>
          <w:lang w:eastAsia="et-EE"/>
        </w:rPr>
        <w:t xml:space="preserve">sellise tegevuse aastane </w:t>
      </w:r>
      <w:r w:rsidR="00B53284" w:rsidRPr="00A245DA">
        <w:rPr>
          <w:rFonts w:ascii="Times New Roman" w:eastAsia="Calibri" w:hAnsi="Times New Roman"/>
          <w:lang w:eastAsia="et-EE"/>
        </w:rPr>
        <w:t xml:space="preserve">maht ületab </w:t>
      </w:r>
      <w:r w:rsidRPr="00A245DA">
        <w:rPr>
          <w:rFonts w:ascii="Times New Roman" w:eastAsia="Calibri" w:hAnsi="Times New Roman"/>
          <w:lang w:eastAsia="et-EE"/>
        </w:rPr>
        <w:t>20% teadusuuringute infrastruktuuri</w:t>
      </w:r>
      <w:r w:rsidR="007D1F5E" w:rsidRPr="00A245DA">
        <w:rPr>
          <w:rFonts w:ascii="Times New Roman" w:eastAsia="Calibri" w:hAnsi="Times New Roman"/>
          <w:lang w:eastAsia="et-EE"/>
        </w:rPr>
        <w:t xml:space="preserve"> kasutuse</w:t>
      </w:r>
      <w:r w:rsidRPr="00A245DA">
        <w:rPr>
          <w:rFonts w:ascii="Times New Roman" w:eastAsia="Calibri" w:hAnsi="Times New Roman"/>
          <w:lang w:eastAsia="et-EE"/>
        </w:rPr>
        <w:t xml:space="preserve"> üldisest aastasest mahust, siis rakenduvad riigiabi reeglid.</w:t>
      </w:r>
      <w:r w:rsidR="00DC6E81" w:rsidRPr="00A245DA">
        <w:rPr>
          <w:rFonts w:ascii="Times New Roman" w:eastAsia="Calibri" w:hAnsi="Times New Roman"/>
          <w:lang w:eastAsia="et-EE"/>
        </w:rPr>
        <w:t xml:space="preserve"> </w:t>
      </w:r>
      <w:r w:rsidR="00DC6E81" w:rsidRPr="00A245DA">
        <w:rPr>
          <w:rFonts w:ascii="Times New Roman" w:hAnsi="Times New Roman"/>
          <w:bCs/>
        </w:rPr>
        <w:t xml:space="preserve">Vastavalt komisjoni üldise grupierandi </w:t>
      </w:r>
      <w:hyperlink r:id="rId15" w:history="1">
        <w:r w:rsidR="00DC6E81" w:rsidRPr="00A245DA">
          <w:rPr>
            <w:rStyle w:val="Hyperlink"/>
            <w:rFonts w:ascii="Times New Roman" w:hAnsi="Times New Roman"/>
            <w:bCs/>
            <w:color w:val="auto"/>
            <w:u w:val="none"/>
          </w:rPr>
          <w:t>määruse nr 651/2014</w:t>
        </w:r>
      </w:hyperlink>
      <w:r w:rsidR="00DC6E81" w:rsidRPr="00A245DA">
        <w:rPr>
          <w:rFonts w:ascii="Times New Roman" w:hAnsi="Times New Roman"/>
          <w:bCs/>
        </w:rPr>
        <w:t xml:space="preserve"> preambula punkti</w:t>
      </w:r>
      <w:r w:rsidR="00E10DA8" w:rsidRPr="00A245DA">
        <w:rPr>
          <w:rFonts w:ascii="Times New Roman" w:hAnsi="Times New Roman"/>
          <w:bCs/>
        </w:rPr>
        <w:t>le</w:t>
      </w:r>
      <w:r w:rsidR="00DC6E81" w:rsidRPr="00A245DA">
        <w:rPr>
          <w:rFonts w:ascii="Times New Roman" w:hAnsi="Times New Roman"/>
          <w:bCs/>
        </w:rPr>
        <w:t xml:space="preserve"> 49</w:t>
      </w:r>
      <w:r w:rsidR="00E10DA8" w:rsidRPr="00A245DA">
        <w:rPr>
          <w:rFonts w:ascii="Times New Roman" w:hAnsi="Times New Roman"/>
          <w:bCs/>
        </w:rPr>
        <w:t>,</w:t>
      </w:r>
      <w:r w:rsidR="00DC6E81" w:rsidRPr="00A245DA">
        <w:rPr>
          <w:rFonts w:ascii="Times New Roman" w:hAnsi="Times New Roman"/>
          <w:bCs/>
        </w:rPr>
        <w:t xml:space="preserve"> kui taristut kasutatakse peaaegu täielikult mittemajanduslikuks tegevuseks, võib selle rahastamine olla kogu ulatuses riigiabi eeskirjadest väljaspool, eeldusel</w:t>
      </w:r>
      <w:r w:rsidR="00E10DA8" w:rsidRPr="00A245DA">
        <w:rPr>
          <w:rFonts w:ascii="Times New Roman" w:hAnsi="Times New Roman"/>
          <w:bCs/>
        </w:rPr>
        <w:t>,</w:t>
      </w:r>
      <w:r w:rsidR="00DC6E81" w:rsidRPr="00A245DA">
        <w:rPr>
          <w:rFonts w:ascii="Times New Roman" w:hAnsi="Times New Roman"/>
          <w:bCs/>
        </w:rPr>
        <w:t xml:space="preserve"> et seda kasutatakse selgelt kõrvaliseks majandustegevuseks, s</w:t>
      </w:r>
      <w:r w:rsidR="00E10DA8" w:rsidRPr="00A245DA">
        <w:rPr>
          <w:rFonts w:ascii="Times New Roman" w:hAnsi="Times New Roman"/>
          <w:bCs/>
        </w:rPr>
        <w:t>.</w:t>
      </w:r>
      <w:r w:rsidR="00DC6E81" w:rsidRPr="00A245DA">
        <w:rPr>
          <w:rFonts w:ascii="Times New Roman" w:hAnsi="Times New Roman"/>
          <w:bCs/>
        </w:rPr>
        <w:t>t</w:t>
      </w:r>
      <w:r w:rsidR="00E10DA8" w:rsidRPr="00A245DA">
        <w:rPr>
          <w:rFonts w:ascii="Times New Roman" w:hAnsi="Times New Roman"/>
          <w:bCs/>
        </w:rPr>
        <w:t>.</w:t>
      </w:r>
      <w:r w:rsidR="00DC6E81" w:rsidRPr="00A245DA">
        <w:rPr>
          <w:rFonts w:ascii="Times New Roman" w:hAnsi="Times New Roman"/>
          <w:bCs/>
        </w:rPr>
        <w:t xml:space="preserve"> tegevuseks, mis on otseselt seotud ja vajalik taristu toimimiseks või lahutamatult seotud peamise mittemajandusliku tegevusega, ning tegevuse ulatus on piiratud. Tingimus loetakse täidetuks, kui majandustegevus kasutab samu sisendeid (nt materjalid, varustus, tööjõud ja põhikapital) </w:t>
      </w:r>
      <w:r w:rsidR="00F47932" w:rsidRPr="00A245DA">
        <w:rPr>
          <w:rFonts w:ascii="Times New Roman" w:hAnsi="Times New Roman"/>
          <w:bCs/>
        </w:rPr>
        <w:t>kui mittemajanduslik tegevus ning sellisele tegevusele aastas eraldatud maht ei ületa 20% teadusuuringute taristu üldisest aastasest mahust</w:t>
      </w:r>
      <w:r w:rsidR="00DC6E81" w:rsidRPr="00A245DA">
        <w:rPr>
          <w:rFonts w:ascii="Times New Roman" w:hAnsi="Times New Roman"/>
          <w:bCs/>
        </w:rPr>
        <w:t>.</w:t>
      </w:r>
      <w:r w:rsidR="00E10DA8" w:rsidRPr="00A245DA">
        <w:rPr>
          <w:rFonts w:ascii="Times New Roman" w:hAnsi="Times New Roman"/>
          <w:bCs/>
        </w:rPr>
        <w:t xml:space="preserve"> </w:t>
      </w:r>
      <w:r w:rsidR="00DC6E81" w:rsidRPr="00A245DA">
        <w:rPr>
          <w:rFonts w:ascii="Times New Roman" w:hAnsi="Times New Roman"/>
          <w:bCs/>
        </w:rPr>
        <w:t xml:space="preserve">Siinkohal </w:t>
      </w:r>
      <w:r w:rsidR="00864AB9" w:rsidRPr="00A245DA">
        <w:rPr>
          <w:rFonts w:ascii="Times New Roman" w:hAnsi="Times New Roman"/>
          <w:bCs/>
        </w:rPr>
        <w:t>on</w:t>
      </w:r>
      <w:r w:rsidR="00DC6E81" w:rsidRPr="00A245DA">
        <w:rPr>
          <w:rFonts w:ascii="Times New Roman" w:hAnsi="Times New Roman"/>
          <w:bCs/>
        </w:rPr>
        <w:t xml:space="preserve"> rakendusüksusel kohustus kontrollida, kas vastav tingimus </w:t>
      </w:r>
      <w:r w:rsidR="00E10DA8" w:rsidRPr="00A245DA">
        <w:rPr>
          <w:rFonts w:ascii="Times New Roman" w:hAnsi="Times New Roman"/>
          <w:bCs/>
        </w:rPr>
        <w:t xml:space="preserve">on täidetud, ning toetuse saajal kohustus esitada kontrollimiseks vajalikke andmeid. </w:t>
      </w:r>
      <w:r w:rsidR="00DC6E81" w:rsidRPr="00A245DA">
        <w:rPr>
          <w:rFonts w:ascii="Times New Roman" w:hAnsi="Times New Roman"/>
          <w:bCs/>
        </w:rPr>
        <w:t xml:space="preserve">Arvestades ASTRA sihtgruppi, kelleks on </w:t>
      </w:r>
      <w:r w:rsidR="00E10DA8" w:rsidRPr="00A245DA">
        <w:rPr>
          <w:rFonts w:ascii="Times New Roman" w:hAnsi="Times New Roman"/>
          <w:bCs/>
        </w:rPr>
        <w:t xml:space="preserve">riigi ja </w:t>
      </w:r>
      <w:r w:rsidR="00DC6E81" w:rsidRPr="00A245DA">
        <w:rPr>
          <w:rFonts w:ascii="Times New Roman" w:hAnsi="Times New Roman"/>
          <w:bCs/>
        </w:rPr>
        <w:t xml:space="preserve">avalik-õiguslikud </w:t>
      </w:r>
      <w:r w:rsidR="00E10DA8" w:rsidRPr="00A245DA">
        <w:rPr>
          <w:rFonts w:ascii="Times New Roman" w:hAnsi="Times New Roman"/>
          <w:bCs/>
        </w:rPr>
        <w:t>teadus- ja arendus</w:t>
      </w:r>
      <w:r w:rsidR="00DC6E81" w:rsidRPr="00A245DA">
        <w:rPr>
          <w:rFonts w:ascii="Times New Roman" w:hAnsi="Times New Roman"/>
          <w:bCs/>
        </w:rPr>
        <w:t xml:space="preserve">asutused ja kõrgkoolid, võib eeldada, et nende hulgas ei ole ühtegi asutust, mille </w:t>
      </w:r>
      <w:r w:rsidR="00E10DA8" w:rsidRPr="00A245DA">
        <w:rPr>
          <w:rFonts w:ascii="Times New Roman" w:hAnsi="Times New Roman"/>
          <w:bCs/>
        </w:rPr>
        <w:t xml:space="preserve">puhul </w:t>
      </w:r>
      <w:r w:rsidR="00DC6E81" w:rsidRPr="00A245DA">
        <w:rPr>
          <w:rFonts w:ascii="Times New Roman" w:hAnsi="Times New Roman"/>
          <w:bCs/>
        </w:rPr>
        <w:t xml:space="preserve">majanduslik tegevus võiks ületada 20%. </w:t>
      </w:r>
    </w:p>
    <w:p w14:paraId="58A8F91B" w14:textId="61AF6142" w:rsidR="00CB042A" w:rsidRPr="00A245DA" w:rsidRDefault="00CB042A" w:rsidP="00C45FDB">
      <w:pPr>
        <w:numPr>
          <w:ilvl w:val="0"/>
          <w:numId w:val="14"/>
        </w:numPr>
        <w:spacing w:before="0" w:after="0"/>
        <w:contextualSpacing/>
        <w:rPr>
          <w:rFonts w:ascii="Times New Roman" w:eastAsiaTheme="minorHAnsi" w:hAnsi="Times New Roman"/>
          <w:lang w:eastAsia="et-EE"/>
        </w:rPr>
      </w:pPr>
      <w:r w:rsidRPr="00A245DA">
        <w:rPr>
          <w:rFonts w:ascii="Times New Roman" w:eastAsiaTheme="minorHAnsi" w:hAnsi="Times New Roman"/>
          <w:lang w:eastAsia="et-EE"/>
        </w:rPr>
        <w:t xml:space="preserve">Üle 1 miljoni maksumusega </w:t>
      </w:r>
      <w:r w:rsidR="007818B9" w:rsidRPr="00A245DA">
        <w:rPr>
          <w:rFonts w:ascii="Times New Roman" w:eastAsiaTheme="minorHAnsi" w:hAnsi="Times New Roman"/>
          <w:lang w:eastAsia="et-EE"/>
        </w:rPr>
        <w:t xml:space="preserve">tulu teenivate </w:t>
      </w:r>
      <w:r w:rsidRPr="00A245DA">
        <w:rPr>
          <w:rFonts w:ascii="Times New Roman" w:eastAsiaTheme="minorHAnsi" w:hAnsi="Times New Roman"/>
          <w:lang w:eastAsia="et-EE"/>
        </w:rPr>
        <w:t>projektide puhul tuleb finantsanalüüs esitada juba koos ettepanekuga. Kui eraldatava toetuse summa ei vasta ettepanekus taotletule, siis on taotlejal vaja esitada korrigeeritud finantsanalüüs</w:t>
      </w:r>
      <w:r w:rsidR="002A21EF" w:rsidRPr="00A245DA">
        <w:rPr>
          <w:rFonts w:ascii="Times New Roman" w:eastAsiaTheme="minorHAnsi" w:hAnsi="Times New Roman"/>
          <w:lang w:eastAsia="et-EE"/>
        </w:rPr>
        <w:t>,</w:t>
      </w:r>
      <w:r w:rsidRPr="00A245DA">
        <w:rPr>
          <w:rFonts w:ascii="Times New Roman" w:eastAsiaTheme="minorHAnsi" w:hAnsi="Times New Roman"/>
          <w:lang w:eastAsia="et-EE"/>
        </w:rPr>
        <w:t xml:space="preserve"> arvestades eraldatava toetuse summat</w:t>
      </w:r>
      <w:r w:rsidR="002A21EF" w:rsidRPr="00A245DA">
        <w:rPr>
          <w:rFonts w:ascii="Times New Roman" w:eastAsiaTheme="minorHAnsi" w:hAnsi="Times New Roman"/>
          <w:lang w:eastAsia="et-EE"/>
        </w:rPr>
        <w:t xml:space="preserve"> (vt §</w:t>
      </w:r>
      <w:r w:rsidR="007818B9" w:rsidRPr="00A245DA">
        <w:rPr>
          <w:rFonts w:ascii="Times New Roman" w:eastAsiaTheme="minorHAnsi" w:hAnsi="Times New Roman"/>
          <w:lang w:eastAsia="et-EE"/>
        </w:rPr>
        <w:t xml:space="preserve"> 11 lõike 2 punkti 8 selgitust)</w:t>
      </w:r>
      <w:r w:rsidRPr="00A245DA">
        <w:rPr>
          <w:rFonts w:ascii="Times New Roman" w:eastAsiaTheme="minorHAnsi" w:hAnsi="Times New Roman"/>
          <w:lang w:eastAsia="et-EE"/>
        </w:rPr>
        <w:t>.</w:t>
      </w:r>
    </w:p>
    <w:p w14:paraId="05F0CFC0" w14:textId="77777777" w:rsidR="009C6B57" w:rsidRPr="00A245DA" w:rsidRDefault="009C6B57" w:rsidP="00C45FDB">
      <w:pPr>
        <w:spacing w:before="0" w:after="0"/>
        <w:jc w:val="left"/>
        <w:rPr>
          <w:rFonts w:ascii="Times New Roman" w:eastAsiaTheme="minorHAnsi" w:hAnsi="Times New Roman"/>
        </w:rPr>
      </w:pPr>
    </w:p>
    <w:p w14:paraId="025EAF14" w14:textId="77777777" w:rsidR="009C6B57" w:rsidRPr="00A245DA" w:rsidRDefault="009C6B57" w:rsidP="009C6B57">
      <w:pPr>
        <w:spacing w:before="0" w:after="0"/>
        <w:jc w:val="left"/>
        <w:rPr>
          <w:rFonts w:ascii="Times New Roman" w:eastAsiaTheme="minorHAnsi" w:hAnsi="Times New Roman"/>
          <w:b/>
          <w:u w:val="single"/>
        </w:rPr>
      </w:pPr>
      <w:r w:rsidRPr="00A245DA">
        <w:rPr>
          <w:rFonts w:ascii="Times New Roman" w:eastAsiaTheme="minorHAnsi" w:hAnsi="Times New Roman"/>
          <w:b/>
          <w:u w:val="single"/>
        </w:rPr>
        <w:t xml:space="preserve">Eelnõu 6. peatükis </w:t>
      </w:r>
    </w:p>
    <w:p w14:paraId="056F39D5" w14:textId="77777777" w:rsidR="009C6B57" w:rsidRPr="00A245DA" w:rsidRDefault="009C6B57" w:rsidP="00456FE0">
      <w:pPr>
        <w:spacing w:before="0" w:after="0"/>
        <w:rPr>
          <w:rFonts w:ascii="Times New Roman" w:eastAsiaTheme="minorHAnsi" w:hAnsi="Times New Roman"/>
        </w:rPr>
      </w:pPr>
      <w:r w:rsidRPr="00A245DA">
        <w:rPr>
          <w:rFonts w:ascii="Times New Roman" w:eastAsiaTheme="minorHAnsi" w:hAnsi="Times New Roman"/>
        </w:rPr>
        <w:t>kirjeldatakse taotluse menetlemise protsessi, taotluse rahuldamist ja rahuldamata jätmist, taotluse osalist või kõrvaltingimustega rahuldamist, taotluse rahuldamise otsuse muutmist ja kehtetuks tunnistamist.</w:t>
      </w:r>
    </w:p>
    <w:p w14:paraId="170A5043" w14:textId="77777777" w:rsidR="009C6B57" w:rsidRPr="00A245DA" w:rsidRDefault="009C6B57" w:rsidP="009C6B57">
      <w:pPr>
        <w:spacing w:before="0" w:after="0"/>
        <w:jc w:val="left"/>
        <w:rPr>
          <w:rFonts w:ascii="Times New Roman" w:eastAsiaTheme="minorHAnsi" w:hAnsi="Times New Roman"/>
        </w:rPr>
      </w:pPr>
    </w:p>
    <w:p w14:paraId="01B5E770" w14:textId="5E75D1E1" w:rsidR="009C6B57" w:rsidRPr="00A245DA" w:rsidRDefault="009C6B57" w:rsidP="009C6B57">
      <w:pPr>
        <w:tabs>
          <w:tab w:val="left" w:pos="426"/>
        </w:tabs>
        <w:spacing w:before="0" w:after="0"/>
        <w:rPr>
          <w:rFonts w:ascii="Times New Roman" w:hAnsi="Times New Roman"/>
          <w:lang w:eastAsia="et-EE"/>
        </w:rPr>
      </w:pPr>
      <w:r w:rsidRPr="00A245DA">
        <w:rPr>
          <w:rFonts w:ascii="Times New Roman" w:hAnsi="Times New Roman"/>
          <w:u w:val="single"/>
          <w:lang w:eastAsia="et-EE"/>
        </w:rPr>
        <w:t>Eelnõu § 22</w:t>
      </w:r>
      <w:r w:rsidRPr="00A245DA">
        <w:rPr>
          <w:rFonts w:ascii="Times New Roman" w:hAnsi="Times New Roman"/>
          <w:lang w:eastAsia="et-EE"/>
        </w:rPr>
        <w:t xml:space="preserve"> kirjeldab seda, kuidas toimub taotluste menetlemine rakendusüksuses. Taotluse menetlemine koosneb selle registreerimisest, taotluse nõuetele vastavuse kontrollist</w:t>
      </w:r>
      <w:r w:rsidR="00E10DA8" w:rsidRPr="00A245DA">
        <w:rPr>
          <w:rFonts w:ascii="Times New Roman" w:hAnsi="Times New Roman"/>
          <w:lang w:eastAsia="et-EE"/>
        </w:rPr>
        <w:t xml:space="preserve">, </w:t>
      </w:r>
      <w:r w:rsidR="00960495" w:rsidRPr="00A245DA">
        <w:rPr>
          <w:rFonts w:ascii="Times New Roman" w:hAnsi="Times New Roman"/>
          <w:lang w:eastAsia="et-EE"/>
        </w:rPr>
        <w:t>hinnangu andmisest, kas taotletav toetus on riigiabi,</w:t>
      </w:r>
      <w:r w:rsidRPr="00A245DA">
        <w:rPr>
          <w:rFonts w:ascii="Times New Roman" w:hAnsi="Times New Roman"/>
          <w:lang w:eastAsia="et-EE"/>
        </w:rPr>
        <w:t xml:space="preserve"> ning taotluse rahuldamise või rahuldamata jätmise otsuse tegemisest. Kokku on taotluse menetlemiseks rakendusüksusel üldjuhul aega kuni 60 tööpäeva. Rakendusüksus vaatab esitatud taotlused läbi 20 tööpäeva jooksul alates taotluse registreerimisest ja põhjendatud juhtudel on rakendusüksusel õigus seda tähtaega pikendada. Rakendusüksus kontrollib, et taotlus oleks esitatud rakendusüksuse kehtestatud vormil ja see oleks kooskõlas ettepanekuga. Taotluses peab olema arvestatud määruse §-s 21 sätestatud nõudeid taotl</w:t>
      </w:r>
      <w:r w:rsidR="00456FE0" w:rsidRPr="00A245DA">
        <w:rPr>
          <w:rFonts w:ascii="Times New Roman" w:hAnsi="Times New Roman"/>
          <w:lang w:eastAsia="et-EE"/>
        </w:rPr>
        <w:t>usele</w:t>
      </w:r>
      <w:r w:rsidRPr="00A245DA">
        <w:rPr>
          <w:rFonts w:ascii="Times New Roman" w:hAnsi="Times New Roman"/>
          <w:lang w:eastAsia="et-EE"/>
        </w:rPr>
        <w:t>, samuti §-s 19 taotlejale ja partnerile seatud nõuetele.</w:t>
      </w:r>
    </w:p>
    <w:p w14:paraId="3A7C5465" w14:textId="1264A7CA" w:rsidR="009C6B57" w:rsidRPr="00A245DA" w:rsidRDefault="0005104D" w:rsidP="009C6B57">
      <w:pPr>
        <w:tabs>
          <w:tab w:val="left" w:pos="426"/>
        </w:tabs>
        <w:spacing w:before="0" w:after="0"/>
        <w:rPr>
          <w:rFonts w:ascii="Times New Roman" w:hAnsi="Times New Roman"/>
          <w:lang w:eastAsia="et-EE"/>
        </w:rPr>
      </w:pPr>
      <w:r w:rsidRPr="00A245DA">
        <w:rPr>
          <w:rFonts w:ascii="Times New Roman" w:hAnsi="Times New Roman"/>
          <w:lang w:eastAsia="et-EE"/>
        </w:rPr>
        <w:tab/>
      </w:r>
      <w:r w:rsidR="009C6B57" w:rsidRPr="00A245DA">
        <w:rPr>
          <w:rFonts w:ascii="Times New Roman" w:hAnsi="Times New Roman"/>
          <w:lang w:eastAsia="et-EE"/>
        </w:rPr>
        <w:t>Kui taotluses esineb puudusi, annab rakendusüksus 10 tööpäeva aega puuduste kõrvaldamiseks. Mõjuvatel põhjustel võib see tähtaeg olla pikem. Kui taotleja ette antud täht</w:t>
      </w:r>
      <w:r w:rsidR="00456FE0" w:rsidRPr="00A245DA">
        <w:rPr>
          <w:rFonts w:ascii="Times New Roman" w:hAnsi="Times New Roman"/>
          <w:lang w:eastAsia="et-EE"/>
        </w:rPr>
        <w:t>aja jooksul puudusi ei kõrvalda,</w:t>
      </w:r>
      <w:r w:rsidR="009C6B57" w:rsidRPr="00A245DA">
        <w:rPr>
          <w:rFonts w:ascii="Times New Roman" w:hAnsi="Times New Roman"/>
          <w:lang w:eastAsia="et-EE"/>
        </w:rPr>
        <w:t xml:space="preserve"> lõpetab rakendusüksus taotluse menetlemise, teeb taotluse rahuldamata jätmise otsuse ja teeb rakendusasutusele ettepaneku algatada investeeringute kava muutmine.</w:t>
      </w:r>
    </w:p>
    <w:p w14:paraId="4EBE7854" w14:textId="41C2166C" w:rsidR="009C6B57" w:rsidRPr="00A245DA" w:rsidRDefault="0005104D" w:rsidP="009C6B57">
      <w:pPr>
        <w:tabs>
          <w:tab w:val="left" w:pos="426"/>
        </w:tabs>
        <w:spacing w:before="0" w:after="0"/>
        <w:rPr>
          <w:rFonts w:ascii="Times New Roman" w:hAnsi="Times New Roman"/>
          <w:lang w:eastAsia="et-EE"/>
        </w:rPr>
      </w:pPr>
      <w:r w:rsidRPr="00A245DA">
        <w:rPr>
          <w:rFonts w:ascii="Times New Roman" w:hAnsi="Times New Roman"/>
          <w:lang w:eastAsia="et-EE"/>
        </w:rPr>
        <w:tab/>
      </w:r>
      <w:r w:rsidR="009C6B57" w:rsidRPr="00A245DA">
        <w:rPr>
          <w:rFonts w:ascii="Times New Roman" w:hAnsi="Times New Roman"/>
          <w:lang w:eastAsia="et-EE"/>
        </w:rPr>
        <w:t>Kui taotlust ei esitata rakendusüksusele tähtaegselt (toetuse taotleja esitab taotluse rakendusüksusele hiljemalt kuue kuu jooksul alates investeeringute kava kinnitamisest Vabariigi Valitsuse poolt</w:t>
      </w:r>
      <w:r w:rsidR="00D8464F" w:rsidRPr="00A245DA">
        <w:rPr>
          <w:rFonts w:ascii="Times New Roman" w:hAnsi="Times New Roman"/>
          <w:lang w:eastAsia="et-EE"/>
        </w:rPr>
        <w:t xml:space="preserve"> või rakendusüksuse poolt teate saatmisest ettepaneku </w:t>
      </w:r>
      <w:r w:rsidR="007D1F5E" w:rsidRPr="00A245DA">
        <w:rPr>
          <w:rFonts w:ascii="Times New Roman" w:hAnsi="Times New Roman"/>
          <w:lang w:eastAsia="et-EE"/>
        </w:rPr>
        <w:t>lävendit ületanud ettepanekute nimekirja</w:t>
      </w:r>
      <w:r w:rsidR="00D8464F" w:rsidRPr="00A245DA">
        <w:rPr>
          <w:rFonts w:ascii="Times New Roman" w:hAnsi="Times New Roman"/>
          <w:lang w:eastAsia="et-EE"/>
        </w:rPr>
        <w:t xml:space="preserve"> arvamise kohta</w:t>
      </w:r>
      <w:r w:rsidR="009C6B57" w:rsidRPr="00A245DA">
        <w:rPr>
          <w:rFonts w:ascii="Times New Roman" w:hAnsi="Times New Roman"/>
          <w:lang w:eastAsia="et-EE"/>
        </w:rPr>
        <w:t>), jäetakse taotlus rakendusüksuse poolt vastu võtmata.</w:t>
      </w:r>
    </w:p>
    <w:p w14:paraId="7C1B0834" w14:textId="07AC5E0B" w:rsidR="009C6B57" w:rsidRPr="00A245DA" w:rsidRDefault="0005104D" w:rsidP="009C6B57">
      <w:pPr>
        <w:tabs>
          <w:tab w:val="left" w:pos="426"/>
        </w:tabs>
        <w:spacing w:before="0" w:after="0"/>
        <w:rPr>
          <w:rFonts w:ascii="Times New Roman" w:hAnsi="Times New Roman"/>
          <w:lang w:eastAsia="et-EE"/>
        </w:rPr>
      </w:pPr>
      <w:r w:rsidRPr="00A245DA">
        <w:rPr>
          <w:rFonts w:ascii="Times New Roman" w:hAnsi="Times New Roman"/>
          <w:lang w:eastAsia="et-EE"/>
        </w:rPr>
        <w:tab/>
      </w:r>
      <w:r w:rsidR="009C6B57" w:rsidRPr="00A245DA">
        <w:rPr>
          <w:rFonts w:ascii="Times New Roman" w:hAnsi="Times New Roman"/>
          <w:lang w:eastAsia="et-EE"/>
        </w:rPr>
        <w:t>Rakendusüksusel on õigus nõuda taotluse kohta täiendavat informatsiooni. Kui esitatud taotlus rakendusüksuse hinnangul ei vasta ettepanekule või selles ei ole arvestatud hindamiskomisjoni ettepaneku</w:t>
      </w:r>
      <w:r w:rsidR="00D8464F" w:rsidRPr="00A245DA">
        <w:rPr>
          <w:rFonts w:ascii="Times New Roman" w:hAnsi="Times New Roman"/>
          <w:lang w:eastAsia="et-EE"/>
        </w:rPr>
        <w:t>te põhjal saavutatud läbirääkimiste tulemusi</w:t>
      </w:r>
      <w:r w:rsidR="009C6B57" w:rsidRPr="00A245DA">
        <w:rPr>
          <w:rFonts w:ascii="Times New Roman" w:hAnsi="Times New Roman"/>
          <w:lang w:eastAsia="et-EE"/>
        </w:rPr>
        <w:t xml:space="preserve"> ning toetuse saaja ei ole valmis taotlust muutma, edastab rakendusüksus taotluse </w:t>
      </w:r>
      <w:r w:rsidR="00D8464F" w:rsidRPr="00A245DA">
        <w:rPr>
          <w:rFonts w:ascii="Times New Roman" w:hAnsi="Times New Roman"/>
          <w:lang w:eastAsia="et-EE"/>
        </w:rPr>
        <w:t xml:space="preserve">ASTRA </w:t>
      </w:r>
      <w:r w:rsidR="009C6B57" w:rsidRPr="00A245DA">
        <w:rPr>
          <w:rFonts w:ascii="Times New Roman" w:hAnsi="Times New Roman"/>
          <w:lang w:eastAsia="et-EE"/>
        </w:rPr>
        <w:t xml:space="preserve">juhtkomisjonile hinnangu saamiseks. Kui juhtkomisjoni arvates on muudatused </w:t>
      </w:r>
      <w:r w:rsidR="00F65F31" w:rsidRPr="00A245DA">
        <w:rPr>
          <w:rFonts w:ascii="Times New Roman" w:hAnsi="Times New Roman"/>
          <w:lang w:eastAsia="et-EE"/>
        </w:rPr>
        <w:t xml:space="preserve">põhjendatud </w:t>
      </w:r>
      <w:r w:rsidR="009C6B57" w:rsidRPr="00A245DA">
        <w:rPr>
          <w:rFonts w:ascii="Times New Roman" w:hAnsi="Times New Roman"/>
          <w:lang w:eastAsia="et-EE"/>
        </w:rPr>
        <w:t>ja taotlus vastab  ettepanekule, teeb juhtkomisjon rakendusüksusele ettepaneku taotluse vastavaks tunnistamiseks. Kui juhtkomisjoni hinnang on negatiivne, siis tehakse rakendusüksusele ettepanek taotlust mitte vastavaks tunnistada.</w:t>
      </w:r>
    </w:p>
    <w:p w14:paraId="34169CFD" w14:textId="77777777" w:rsidR="009C6B57" w:rsidRPr="00A245DA" w:rsidRDefault="009C6B57" w:rsidP="009C6B57">
      <w:pPr>
        <w:tabs>
          <w:tab w:val="left" w:pos="426"/>
        </w:tabs>
        <w:spacing w:before="0" w:after="0"/>
        <w:rPr>
          <w:rFonts w:ascii="Times New Roman" w:hAnsi="Times New Roman"/>
          <w:lang w:eastAsia="et-EE"/>
        </w:rPr>
      </w:pPr>
    </w:p>
    <w:p w14:paraId="6291778A" w14:textId="2F98C2AA" w:rsidR="009C6B57" w:rsidRPr="00A245DA" w:rsidRDefault="009C6B57" w:rsidP="009C6B57">
      <w:pPr>
        <w:tabs>
          <w:tab w:val="left" w:pos="426"/>
        </w:tabs>
        <w:spacing w:before="0" w:after="0"/>
        <w:rPr>
          <w:rFonts w:ascii="Times New Roman" w:hAnsi="Times New Roman"/>
          <w:lang w:eastAsia="et-EE"/>
        </w:rPr>
      </w:pPr>
      <w:r w:rsidRPr="00A245DA">
        <w:rPr>
          <w:rFonts w:ascii="Times New Roman" w:hAnsi="Times New Roman"/>
          <w:u w:val="single"/>
          <w:lang w:eastAsia="et-EE"/>
        </w:rPr>
        <w:t>Eelnõu § 23</w:t>
      </w:r>
      <w:r w:rsidRPr="00A245DA">
        <w:rPr>
          <w:rFonts w:ascii="Times New Roman" w:hAnsi="Times New Roman"/>
          <w:lang w:eastAsia="et-EE"/>
        </w:rPr>
        <w:t xml:space="preserve"> sätestab taotluste rahuldamise ja rahuldamata jätmise tingimused. Rahuldamisele saavad kuuluda vaid taotlused, milles sisalduv projekt on Vabariigi Valitsuse poolt in</w:t>
      </w:r>
      <w:r w:rsidR="00DD1A79" w:rsidRPr="00A245DA">
        <w:rPr>
          <w:rFonts w:ascii="Times New Roman" w:hAnsi="Times New Roman"/>
          <w:lang w:eastAsia="et-EE"/>
        </w:rPr>
        <w:t xml:space="preserve">vesteeringute kavaga kinnitatud </w:t>
      </w:r>
      <w:r w:rsidR="00DD1A79" w:rsidRPr="00A245DA">
        <w:rPr>
          <w:rFonts w:ascii="Times New Roman" w:hAnsi="Times New Roman"/>
        </w:rPr>
        <w:t xml:space="preserve">või on saanud heakskiidu </w:t>
      </w:r>
      <w:r w:rsidR="00DD1A79" w:rsidRPr="00A245DA">
        <w:rPr>
          <w:rFonts w:ascii="Times New Roman" w:hAnsi="Times New Roman"/>
          <w:lang w:eastAsia="et-EE"/>
        </w:rPr>
        <w:t>hindamiskomisjoni poolt, sõltuvalt sellest, kas projekt sisaldab investeeringuid või mitte.</w:t>
      </w:r>
    </w:p>
    <w:p w14:paraId="01A3DCFA" w14:textId="3D8BF02A" w:rsidR="009C6B57" w:rsidRPr="00A245DA" w:rsidRDefault="009C6B57" w:rsidP="009C6B57">
      <w:pPr>
        <w:spacing w:after="0"/>
        <w:rPr>
          <w:rFonts w:ascii="Times New Roman" w:hAnsi="Times New Roman"/>
          <w:lang w:eastAsia="et-EE"/>
        </w:rPr>
      </w:pPr>
      <w:r w:rsidRPr="00A245DA">
        <w:rPr>
          <w:rFonts w:ascii="Times New Roman" w:hAnsi="Times New Roman"/>
          <w:lang w:eastAsia="et-EE"/>
        </w:rPr>
        <w:t>Taotluse rahuldamise otsuse võib teha kõrvaltingimusega (</w:t>
      </w:r>
      <w:r w:rsidRPr="00A245DA">
        <w:rPr>
          <w:rFonts w:ascii="Times New Roman" w:hAnsi="Times New Roman"/>
          <w:color w:val="000000"/>
          <w:lang w:eastAsia="et-EE"/>
        </w:rPr>
        <w:t>haldusmenetluse seaduse § 53 tähenduses)</w:t>
      </w:r>
      <w:r w:rsidRPr="00A245DA">
        <w:rPr>
          <w:rFonts w:ascii="Times New Roman" w:hAnsi="Times New Roman"/>
          <w:lang w:eastAsia="et-EE"/>
        </w:rPr>
        <w:t xml:space="preserve"> vastavalt investeeringute kavas seatud tingimustele</w:t>
      </w:r>
      <w:r w:rsidR="00D8464F" w:rsidRPr="00A245DA">
        <w:rPr>
          <w:rFonts w:ascii="Times New Roman" w:hAnsi="Times New Roman"/>
          <w:lang w:eastAsia="et-EE"/>
        </w:rPr>
        <w:t>, hindamiskomisjoni poolt seatud tingimustele</w:t>
      </w:r>
      <w:r w:rsidRPr="00A245DA">
        <w:rPr>
          <w:rFonts w:ascii="Times New Roman" w:hAnsi="Times New Roman"/>
          <w:lang w:eastAsia="et-EE"/>
        </w:rPr>
        <w:t xml:space="preserve"> ning taotluste menetlemise määruse § 9 lõigetes 2 ja 3 sätestatule. </w:t>
      </w:r>
      <w:r w:rsidRPr="00A245DA">
        <w:rPr>
          <w:rFonts w:ascii="Times New Roman" w:hAnsi="Times New Roman"/>
          <w:color w:val="000000"/>
          <w:lang w:eastAsia="et-EE"/>
        </w:rPr>
        <w:t xml:space="preserve">Kõrvaltingimusega rahuldamise otsuse saab rakendusüksus teha, kui on tõenäoline, et lõpliku otsuse tegemiseks vajalik eeldus saabub või täidetakse hiljemalt kõrvaltingimuses märgitud tähtaja jooksul ja kõrvaltingimuse seadmine on </w:t>
      </w:r>
      <w:r w:rsidR="00714EEB" w:rsidRPr="00A245DA">
        <w:rPr>
          <w:rFonts w:ascii="Times New Roman" w:hAnsi="Times New Roman"/>
          <w:color w:val="000000"/>
          <w:lang w:eastAsia="et-EE"/>
        </w:rPr>
        <w:t>vajalik</w:t>
      </w:r>
      <w:r w:rsidRPr="00A245DA">
        <w:rPr>
          <w:rFonts w:ascii="Times New Roman" w:hAnsi="Times New Roman"/>
          <w:color w:val="000000"/>
          <w:lang w:eastAsia="et-EE"/>
        </w:rPr>
        <w:t>. Kõrvaltingimuse nõuetekohasel saabumisel või täitmisel vormistatakse sellekohane teave taotluse rahuldamise otsuse juurde.</w:t>
      </w:r>
    </w:p>
    <w:p w14:paraId="06610F42" w14:textId="77777777" w:rsidR="009C6B57" w:rsidRPr="00A245DA" w:rsidRDefault="009C6B57" w:rsidP="009C6B57">
      <w:pPr>
        <w:spacing w:before="0" w:after="0"/>
        <w:rPr>
          <w:rFonts w:ascii="Times New Roman" w:hAnsi="Times New Roman"/>
          <w:lang w:eastAsia="et-EE"/>
        </w:rPr>
      </w:pPr>
    </w:p>
    <w:p w14:paraId="5492FF70" w14:textId="77777777" w:rsidR="009C6B57" w:rsidRPr="00A245DA" w:rsidRDefault="009C6B57" w:rsidP="009C6B57">
      <w:pPr>
        <w:spacing w:before="0" w:after="0"/>
        <w:rPr>
          <w:rFonts w:ascii="Times New Roman" w:hAnsi="Times New Roman"/>
          <w:lang w:eastAsia="et-EE"/>
        </w:rPr>
      </w:pPr>
      <w:r w:rsidRPr="00A245DA">
        <w:rPr>
          <w:rFonts w:ascii="Times New Roman" w:hAnsi="Times New Roman"/>
          <w:lang w:eastAsia="et-EE"/>
        </w:rPr>
        <w:t>Taotluse rahuldamise otsuses märgitakse lisaks taotluste menetlemise määruse § 8 lõikes 4 sätestatule otsuse tegemise alus ja põhjendus, projekti eelarve aastate lõikes ja maksetaotluste esitamise tähtajad.</w:t>
      </w:r>
    </w:p>
    <w:p w14:paraId="265E5452" w14:textId="77777777" w:rsidR="009C6B57" w:rsidRPr="00A245DA" w:rsidRDefault="009C6B57" w:rsidP="0005104D">
      <w:pPr>
        <w:spacing w:before="0" w:after="0"/>
        <w:ind w:firstLine="708"/>
        <w:rPr>
          <w:rFonts w:ascii="Times New Roman" w:hAnsi="Times New Roman"/>
          <w:lang w:eastAsia="et-EE"/>
        </w:rPr>
      </w:pPr>
      <w:r w:rsidRPr="00A245DA">
        <w:rPr>
          <w:rFonts w:ascii="Times New Roman" w:hAnsi="Times New Roman"/>
          <w:lang w:eastAsia="et-EE"/>
        </w:rPr>
        <w:t>Rakendusüksus teeb taotluse rahuldamata jätmise otsuse kui taotlus ei vasta nõuetele,  taotlus pole esitatud määruses sätestatud ajal, tähtaegselt pole esitatud selgitusi või täiendavaid dokumente või taotleja ega partner ei vasta määruses sätestatud nõuetele.</w:t>
      </w:r>
    </w:p>
    <w:p w14:paraId="0BD5A635" w14:textId="77777777" w:rsidR="009C6B57" w:rsidRPr="00A245DA" w:rsidRDefault="009C6B57" w:rsidP="009C6B57">
      <w:pPr>
        <w:spacing w:before="0" w:after="100" w:afterAutospacing="1"/>
        <w:rPr>
          <w:rFonts w:ascii="Times New Roman" w:hAnsi="Times New Roman"/>
          <w:lang w:eastAsia="et-EE"/>
        </w:rPr>
      </w:pPr>
      <w:r w:rsidRPr="00A245DA">
        <w:rPr>
          <w:rFonts w:ascii="Times New Roman" w:hAnsi="Times New Roman"/>
          <w:lang w:eastAsia="et-EE"/>
        </w:rPr>
        <w:t>Otsus taotluse rahuldamise või rahuldamata jätmise kohta edastatakse taotlejale elektrooniliselt või tehakse teatavaks registri vahendusel 10 tööpäeva jooksul otsuse tegemisest.</w:t>
      </w:r>
    </w:p>
    <w:p w14:paraId="1E55FF9F" w14:textId="2467364F" w:rsidR="009C6B57" w:rsidRPr="00A245DA" w:rsidRDefault="009C6B57" w:rsidP="009C6B57">
      <w:pPr>
        <w:spacing w:before="0" w:after="0"/>
        <w:rPr>
          <w:rFonts w:ascii="Times New Roman" w:hAnsi="Times New Roman"/>
          <w:lang w:eastAsia="et-EE"/>
        </w:rPr>
      </w:pPr>
      <w:r w:rsidRPr="00A245DA">
        <w:rPr>
          <w:rFonts w:ascii="Times New Roman" w:hAnsi="Times New Roman"/>
          <w:u w:val="single"/>
          <w:lang w:eastAsia="et-EE"/>
        </w:rPr>
        <w:t>Eelnõu §</w:t>
      </w:r>
      <w:r w:rsidR="00456FE0" w:rsidRPr="00A245DA">
        <w:rPr>
          <w:rFonts w:ascii="Times New Roman" w:hAnsi="Times New Roman"/>
          <w:u w:val="single"/>
          <w:lang w:eastAsia="et-EE"/>
        </w:rPr>
        <w:t>-s</w:t>
      </w:r>
      <w:r w:rsidRPr="00A245DA">
        <w:rPr>
          <w:rFonts w:ascii="Times New Roman" w:hAnsi="Times New Roman"/>
          <w:u w:val="single"/>
          <w:lang w:eastAsia="et-EE"/>
        </w:rPr>
        <w:t xml:space="preserve"> 24</w:t>
      </w:r>
      <w:r w:rsidRPr="00A245DA">
        <w:rPr>
          <w:rFonts w:ascii="Times New Roman" w:hAnsi="Times New Roman"/>
          <w:lang w:eastAsia="et-EE"/>
        </w:rPr>
        <w:t xml:space="preserve"> sätesta</w:t>
      </w:r>
      <w:r w:rsidR="00456FE0" w:rsidRPr="00A245DA">
        <w:rPr>
          <w:rFonts w:ascii="Times New Roman" w:hAnsi="Times New Roman"/>
          <w:lang w:eastAsia="et-EE"/>
        </w:rPr>
        <w:t xml:space="preserve">takse </w:t>
      </w:r>
      <w:r w:rsidRPr="00A245DA">
        <w:rPr>
          <w:rFonts w:ascii="Times New Roman" w:hAnsi="Times New Roman"/>
          <w:lang w:eastAsia="et-EE"/>
        </w:rPr>
        <w:t>tingimused, kuidas saab taotluse rahuldamise otsust muuta või kehtetuks tunnistada. Otsuse muutmise võib algatada rakendusüksus kas ise või toetuse saaja vastavasisulise avalduse alusel taotluste menetlemise määruse §-des 10 ja 11 sätestatud tingimustel ja korras. Toetuse saaja peab küsima rakendusüksuse nõusolekut, kui projekti eelarve tegevuste lõikes muutub üle 10%.</w:t>
      </w:r>
    </w:p>
    <w:p w14:paraId="643C2B5C" w14:textId="26F5F025" w:rsidR="009C6B57" w:rsidRPr="00A245DA" w:rsidRDefault="009C6B57" w:rsidP="0005104D">
      <w:pPr>
        <w:spacing w:before="0" w:after="0"/>
        <w:ind w:firstLine="708"/>
        <w:rPr>
          <w:rFonts w:ascii="Times New Roman" w:hAnsi="Times New Roman"/>
          <w:lang w:eastAsia="et-EE"/>
        </w:rPr>
      </w:pPr>
      <w:r w:rsidRPr="00A245DA">
        <w:rPr>
          <w:rFonts w:ascii="Times New Roman" w:hAnsi="Times New Roman"/>
          <w:lang w:eastAsia="et-EE"/>
        </w:rPr>
        <w:lastRenderedPageBreak/>
        <w:t xml:space="preserve">Rakendusüksus võib taotluse rahuldamise otsuse tunnistada kas osaliselt või täielikult kehtetuks vastavalt perioodi 2014−2020 struktuuritoetuse seaduse § 22 lõikele 3 või </w:t>
      </w:r>
      <w:r w:rsidR="00D8464F" w:rsidRPr="00A245DA">
        <w:rPr>
          <w:rFonts w:ascii="Times New Roman" w:hAnsi="Times New Roman"/>
          <w:lang w:eastAsia="et-EE"/>
        </w:rPr>
        <w:t xml:space="preserve">teha finantskorrektsiooni otsuse vastavalt </w:t>
      </w:r>
      <w:r w:rsidRPr="00A245DA">
        <w:rPr>
          <w:rFonts w:ascii="Times New Roman" w:hAnsi="Times New Roman"/>
          <w:lang w:eastAsia="et-EE"/>
        </w:rPr>
        <w:t>§ 45 lõikele 1.</w:t>
      </w:r>
    </w:p>
    <w:p w14:paraId="1EE3F421" w14:textId="77777777" w:rsidR="009C6B57" w:rsidRPr="00A245DA" w:rsidRDefault="009C6B57" w:rsidP="009C6B57">
      <w:pPr>
        <w:tabs>
          <w:tab w:val="left" w:pos="426"/>
        </w:tabs>
        <w:spacing w:before="0" w:after="0"/>
        <w:rPr>
          <w:rFonts w:ascii="Times New Roman" w:hAnsi="Times New Roman"/>
          <w:lang w:eastAsia="et-EE"/>
        </w:rPr>
      </w:pPr>
    </w:p>
    <w:p w14:paraId="70114DD7" w14:textId="77777777" w:rsidR="00564A6F" w:rsidRPr="00A245DA" w:rsidRDefault="00564A6F" w:rsidP="002460E2">
      <w:pPr>
        <w:pStyle w:val="NoSpacing"/>
        <w:jc w:val="both"/>
        <w:rPr>
          <w:rFonts w:ascii="Times New Roman" w:hAnsi="Times New Roman" w:cs="Times New Roman"/>
          <w:b/>
          <w:bCs/>
          <w:u w:val="single"/>
        </w:rPr>
      </w:pPr>
      <w:r w:rsidRPr="00A245DA">
        <w:rPr>
          <w:rFonts w:ascii="Times New Roman" w:hAnsi="Times New Roman" w:cs="Times New Roman"/>
          <w:b/>
          <w:bCs/>
          <w:u w:val="single"/>
        </w:rPr>
        <w:t>7. peatükk Aruannete esitamine ja toetuse maksmise tingimused</w:t>
      </w:r>
    </w:p>
    <w:p w14:paraId="37EC0B30" w14:textId="15EA5478" w:rsidR="002460E2" w:rsidRPr="00A245DA" w:rsidRDefault="002460E2" w:rsidP="002460E2">
      <w:pPr>
        <w:pStyle w:val="NoSpacing"/>
        <w:jc w:val="both"/>
        <w:rPr>
          <w:rFonts w:ascii="Times New Roman" w:hAnsi="Times New Roman" w:cs="Times New Roman"/>
          <w:lang w:eastAsia="et-EE"/>
        </w:rPr>
      </w:pPr>
      <w:r w:rsidRPr="00A245DA">
        <w:rPr>
          <w:rFonts w:ascii="Times New Roman" w:hAnsi="Times New Roman" w:cs="Times New Roman"/>
          <w:lang w:eastAsia="et-EE"/>
        </w:rPr>
        <w:t>Eelnõu 7. peatükis sätestatakse aruannete esitamise, projektide vahehindamise ja toetuse maksmise tingimused</w:t>
      </w:r>
      <w:r w:rsidR="00746694" w:rsidRPr="00A245DA">
        <w:rPr>
          <w:rFonts w:ascii="Times New Roman" w:hAnsi="Times New Roman" w:cs="Times New Roman"/>
          <w:lang w:eastAsia="et-EE"/>
        </w:rPr>
        <w:t>.</w:t>
      </w:r>
    </w:p>
    <w:p w14:paraId="7575FE5C" w14:textId="77777777" w:rsidR="002460E2" w:rsidRPr="00A245DA" w:rsidRDefault="002460E2" w:rsidP="002460E2">
      <w:pPr>
        <w:pStyle w:val="NoSpacing"/>
        <w:jc w:val="both"/>
        <w:rPr>
          <w:rFonts w:ascii="Times New Roman" w:hAnsi="Times New Roman" w:cs="Times New Roman"/>
          <w:b/>
          <w:highlight w:val="lightGray"/>
          <w:lang w:eastAsia="et-EE"/>
        </w:rPr>
      </w:pPr>
    </w:p>
    <w:p w14:paraId="1E514766" w14:textId="77777777" w:rsidR="00F169CD" w:rsidRPr="00A245DA" w:rsidRDefault="00F169CD" w:rsidP="00F169CD">
      <w:pPr>
        <w:spacing w:before="0" w:after="0"/>
        <w:rPr>
          <w:rFonts w:ascii="Times New Roman" w:hAnsi="Times New Roman"/>
          <w:bCs/>
          <w:color w:val="000000"/>
          <w:lang w:eastAsia="et-EE"/>
        </w:rPr>
      </w:pPr>
      <w:r w:rsidRPr="00A245DA">
        <w:rPr>
          <w:rFonts w:ascii="Times New Roman" w:hAnsi="Times New Roman"/>
          <w:bCs/>
          <w:color w:val="000000"/>
          <w:u w:val="single"/>
          <w:lang w:eastAsia="et-EE"/>
        </w:rPr>
        <w:t>§ 25</w:t>
      </w:r>
      <w:r w:rsidRPr="00A245DA">
        <w:rPr>
          <w:rFonts w:ascii="Times New Roman" w:hAnsi="Times New Roman"/>
          <w:bCs/>
          <w:color w:val="000000"/>
          <w:lang w:eastAsia="et-EE"/>
        </w:rPr>
        <w:t xml:space="preserve"> kirjeldab, milliseid aruandeid esitab toetuse saaja, ning projektide vahehindamise toimumist. </w:t>
      </w:r>
    </w:p>
    <w:p w14:paraId="2F2CD791" w14:textId="77777777" w:rsidR="00F169CD" w:rsidRPr="00A245DA" w:rsidRDefault="00F169CD" w:rsidP="00F169CD">
      <w:pPr>
        <w:spacing w:before="0" w:after="0"/>
        <w:rPr>
          <w:rFonts w:ascii="Times New Roman" w:hAnsi="Times New Roman"/>
          <w:bCs/>
          <w:color w:val="000000"/>
          <w:lang w:eastAsia="et-EE"/>
        </w:rPr>
      </w:pPr>
      <w:r w:rsidRPr="00A245DA">
        <w:rPr>
          <w:rFonts w:ascii="Times New Roman" w:hAnsi="Times New Roman"/>
          <w:bCs/>
          <w:color w:val="000000"/>
          <w:u w:val="single"/>
          <w:lang w:eastAsia="et-EE"/>
        </w:rPr>
        <w:t>Lõikes 1</w:t>
      </w:r>
      <w:r w:rsidRPr="00A245DA">
        <w:rPr>
          <w:rFonts w:ascii="Times New Roman" w:hAnsi="Times New Roman"/>
          <w:bCs/>
          <w:color w:val="000000"/>
          <w:lang w:eastAsia="et-EE"/>
        </w:rPr>
        <w:t xml:space="preserve"> täpsustatakse, et toetuse saaja esitab rakendusüksusele kolme sorti aruandeid. </w:t>
      </w:r>
    </w:p>
    <w:p w14:paraId="6656A266" w14:textId="6C73C174" w:rsidR="00F169CD" w:rsidRPr="00A245DA" w:rsidRDefault="00F169CD" w:rsidP="00F169CD">
      <w:pPr>
        <w:spacing w:before="0" w:after="0"/>
        <w:rPr>
          <w:rFonts w:ascii="Times New Roman" w:hAnsi="Times New Roman"/>
          <w:bCs/>
          <w:color w:val="FF0000"/>
          <w:lang w:eastAsia="et-EE"/>
        </w:rPr>
      </w:pPr>
      <w:r w:rsidRPr="00A245DA">
        <w:rPr>
          <w:rFonts w:ascii="Times New Roman" w:hAnsi="Times New Roman"/>
          <w:bCs/>
          <w:color w:val="000000"/>
          <w:u w:val="single"/>
          <w:lang w:eastAsia="et-EE"/>
        </w:rPr>
        <w:t>Lõige 2</w:t>
      </w:r>
      <w:r w:rsidRPr="00A245DA">
        <w:rPr>
          <w:rFonts w:ascii="Times New Roman" w:hAnsi="Times New Roman"/>
          <w:bCs/>
          <w:color w:val="000000"/>
          <w:lang w:eastAsia="et-EE"/>
        </w:rPr>
        <w:t xml:space="preserve"> täpsustab, et projekti tegevus- ja finantsaruandeid (projekti aruandeid) tuleb toetuse saajal esitada igal aastal ning need aruanded näitavad projekti edenemist ja liikumist tulemuste saavutamise suunas. Vajadusel võib rakendusüksus nõuda aruandeid sagedamini kui kord aastas ning sel juhul täpsustatakse seda taotluse rahuldamise otsuses. Projekti elluviimise järgsed aruanded esitatakse rakendusüksuse nõudmisel. </w:t>
      </w:r>
    </w:p>
    <w:p w14:paraId="24A12342" w14:textId="77777777" w:rsidR="00F169CD" w:rsidRPr="00A245DA" w:rsidRDefault="00F169CD" w:rsidP="00F169CD">
      <w:pPr>
        <w:spacing w:before="0" w:after="0"/>
        <w:rPr>
          <w:rFonts w:ascii="Times New Roman" w:hAnsi="Times New Roman"/>
          <w:bCs/>
          <w:lang w:eastAsia="et-EE"/>
        </w:rPr>
      </w:pPr>
      <w:r w:rsidRPr="00A245DA">
        <w:rPr>
          <w:rFonts w:ascii="Times New Roman" w:hAnsi="Times New Roman"/>
          <w:bCs/>
          <w:u w:val="single"/>
          <w:lang w:eastAsia="et-EE"/>
        </w:rPr>
        <w:t>Lõige 3</w:t>
      </w:r>
      <w:r w:rsidRPr="00A245DA">
        <w:rPr>
          <w:rFonts w:ascii="Times New Roman" w:hAnsi="Times New Roman"/>
          <w:bCs/>
          <w:lang w:eastAsia="et-EE"/>
        </w:rPr>
        <w:t xml:space="preserve"> sätestab, et projekti aruandega esitatakse koos ka projekti järgmise kalendriaasta tegevuskava ja eelarve. </w:t>
      </w:r>
    </w:p>
    <w:p w14:paraId="54D26CA6" w14:textId="77777777" w:rsidR="00F169CD" w:rsidRPr="00A245DA" w:rsidRDefault="00F169CD" w:rsidP="00F169CD">
      <w:pPr>
        <w:spacing w:before="0" w:after="0"/>
        <w:rPr>
          <w:rFonts w:ascii="Times New Roman" w:hAnsi="Times New Roman"/>
          <w:bCs/>
          <w:lang w:eastAsia="et-EE"/>
        </w:rPr>
      </w:pPr>
      <w:r w:rsidRPr="00A245DA">
        <w:rPr>
          <w:rFonts w:ascii="Times New Roman" w:hAnsi="Times New Roman"/>
          <w:bCs/>
          <w:lang w:eastAsia="et-EE"/>
        </w:rPr>
        <w:t xml:space="preserve">Vastavalt </w:t>
      </w:r>
      <w:r w:rsidRPr="00A245DA">
        <w:rPr>
          <w:rFonts w:ascii="Times New Roman" w:hAnsi="Times New Roman"/>
          <w:bCs/>
          <w:u w:val="single"/>
          <w:lang w:eastAsia="et-EE"/>
        </w:rPr>
        <w:t>lõikele 4</w:t>
      </w:r>
      <w:r w:rsidRPr="00A245DA">
        <w:rPr>
          <w:rFonts w:ascii="Times New Roman" w:hAnsi="Times New Roman"/>
          <w:bCs/>
          <w:lang w:eastAsia="et-EE"/>
        </w:rPr>
        <w:t xml:space="preserve"> on iga-aastane tegevuskava ja eelarve on aluseks projekti edenemise hindamisele. Rakendusüksus hindab ellu viidud tegevuste kooskõla plaanituga ning projektis seatud sihttasemete täitmist.</w:t>
      </w:r>
    </w:p>
    <w:p w14:paraId="279EF5B2" w14:textId="77777777" w:rsidR="00F169CD" w:rsidRPr="00A245DA" w:rsidRDefault="00F169CD" w:rsidP="00F169CD">
      <w:pPr>
        <w:spacing w:before="0" w:after="0"/>
        <w:rPr>
          <w:rFonts w:ascii="Times New Roman" w:hAnsi="Times New Roman"/>
          <w:bCs/>
          <w:lang w:eastAsia="et-EE"/>
        </w:rPr>
      </w:pPr>
      <w:r w:rsidRPr="00A245DA">
        <w:rPr>
          <w:rFonts w:ascii="Times New Roman" w:hAnsi="Times New Roman"/>
          <w:bCs/>
          <w:u w:val="single"/>
          <w:lang w:eastAsia="et-EE"/>
        </w:rPr>
        <w:t>Lõige 5</w:t>
      </w:r>
      <w:r w:rsidRPr="00A245DA">
        <w:rPr>
          <w:rFonts w:ascii="Times New Roman" w:hAnsi="Times New Roman"/>
          <w:bCs/>
          <w:lang w:eastAsia="et-EE"/>
        </w:rPr>
        <w:t xml:space="preserve"> täpsustab, et juhul kui aruannete hindamise käigus on selgunud, et projekti sihttasemed on täidetud, kuid osa eelarvest on kasutamata, võib toetuse saaja vahendeid suunata teiste toetatavate tegevuste elluviimiseks. See võimaldab paindlikkust ning vahendite suunamist teiste tegevuste tegemiseks, mis võrreldes algselt planeerituga vajaks suuremat toetust. Selleks peab toetuse saaja esitama rakendusüksusele vastava taotluse.</w:t>
      </w:r>
    </w:p>
    <w:p w14:paraId="18447BE4" w14:textId="6B7F446D" w:rsidR="00F169CD" w:rsidRPr="00A245DA" w:rsidRDefault="00F169CD" w:rsidP="00F169CD">
      <w:pPr>
        <w:spacing w:before="0" w:after="0"/>
        <w:rPr>
          <w:rFonts w:ascii="Times New Roman" w:hAnsi="Times New Roman"/>
          <w:bCs/>
          <w:lang w:eastAsia="et-EE"/>
        </w:rPr>
      </w:pPr>
      <w:r w:rsidRPr="00A245DA">
        <w:rPr>
          <w:rFonts w:ascii="Times New Roman" w:hAnsi="Times New Roman"/>
          <w:bCs/>
          <w:u w:val="single"/>
          <w:lang w:eastAsia="et-EE"/>
        </w:rPr>
        <w:t>Lõi</w:t>
      </w:r>
      <w:r w:rsidR="00C16CEA" w:rsidRPr="00A245DA">
        <w:rPr>
          <w:rFonts w:ascii="Times New Roman" w:hAnsi="Times New Roman"/>
          <w:bCs/>
          <w:u w:val="single"/>
          <w:lang w:eastAsia="et-EE"/>
        </w:rPr>
        <w:t>ked</w:t>
      </w:r>
      <w:r w:rsidRPr="00A245DA">
        <w:rPr>
          <w:rFonts w:ascii="Times New Roman" w:hAnsi="Times New Roman"/>
          <w:bCs/>
          <w:u w:val="single"/>
          <w:lang w:eastAsia="et-EE"/>
        </w:rPr>
        <w:t xml:space="preserve"> 6</w:t>
      </w:r>
      <w:r w:rsidR="00C16CEA" w:rsidRPr="00A245DA">
        <w:rPr>
          <w:rFonts w:ascii="Times New Roman" w:hAnsi="Times New Roman"/>
          <w:bCs/>
          <w:u w:val="single"/>
          <w:lang w:eastAsia="et-EE"/>
        </w:rPr>
        <w:t xml:space="preserve"> ja 7</w:t>
      </w:r>
      <w:r w:rsidRPr="00A245DA">
        <w:rPr>
          <w:rFonts w:ascii="Times New Roman" w:hAnsi="Times New Roman"/>
          <w:bCs/>
          <w:lang w:eastAsia="et-EE"/>
        </w:rPr>
        <w:t xml:space="preserve"> sätesta</w:t>
      </w:r>
      <w:r w:rsidR="00C16CEA" w:rsidRPr="00A245DA">
        <w:rPr>
          <w:rFonts w:ascii="Times New Roman" w:hAnsi="Times New Roman"/>
          <w:bCs/>
          <w:lang w:eastAsia="et-EE"/>
        </w:rPr>
        <w:t>vad</w:t>
      </w:r>
      <w:r w:rsidRPr="00A245DA">
        <w:rPr>
          <w:rFonts w:ascii="Times New Roman" w:hAnsi="Times New Roman"/>
          <w:bCs/>
          <w:lang w:eastAsia="et-EE"/>
        </w:rPr>
        <w:t xml:space="preserve"> toetatavate projektide vahehindamise toimumise. Vahehindamise viib läbi ASTRA juhtkomisjon (vt ka käesoleva määruse § </w:t>
      </w:r>
      <w:r w:rsidR="009B4455" w:rsidRPr="00A245DA">
        <w:rPr>
          <w:rFonts w:ascii="Times New Roman" w:hAnsi="Times New Roman"/>
          <w:bCs/>
          <w:lang w:eastAsia="et-EE"/>
        </w:rPr>
        <w:t>13</w:t>
      </w:r>
      <w:r w:rsidRPr="00A245DA">
        <w:rPr>
          <w:rFonts w:ascii="Times New Roman" w:hAnsi="Times New Roman"/>
          <w:bCs/>
          <w:lang w:eastAsia="et-EE"/>
        </w:rPr>
        <w:t>).</w:t>
      </w:r>
      <w:r w:rsidR="00746694" w:rsidRPr="00A245DA">
        <w:rPr>
          <w:rFonts w:ascii="Times New Roman" w:hAnsi="Times New Roman"/>
          <w:lang w:eastAsia="et-EE"/>
        </w:rPr>
        <w:t xml:space="preserve"> </w:t>
      </w:r>
      <w:r w:rsidRPr="00A245DA">
        <w:rPr>
          <w:rFonts w:ascii="Times New Roman" w:hAnsi="Times New Roman"/>
          <w:bCs/>
          <w:lang w:eastAsia="et-EE"/>
        </w:rPr>
        <w:t>Projektis on seatud</w:t>
      </w:r>
      <w:r w:rsidRPr="00A245DA">
        <w:rPr>
          <w:rFonts w:ascii="Times New Roman" w:hAnsi="Times New Roman"/>
          <w:color w:val="000000"/>
        </w:rPr>
        <w:t xml:space="preserve"> tegevuste väljundnäitajatele nii projekti lõpuks saavutatavad sihttasemed kui ka vahetasemed, mida loodetakse projektiga saavutada 2018. a lõpuks. 2019. aastal toimub ASTRA vahehindamine, kus hinnatakse projektide tegelikku edenemist võrreldes väljundnäitajatele seatud vahetasemetega</w:t>
      </w:r>
      <w:r w:rsidR="00C16CEA" w:rsidRPr="00A245DA">
        <w:rPr>
          <w:rFonts w:ascii="Times New Roman" w:hAnsi="Times New Roman"/>
          <w:color w:val="000000"/>
        </w:rPr>
        <w:t xml:space="preserve"> ja hinnatakse eelarve kasutamist võrreldes saavutatud väljunditega</w:t>
      </w:r>
      <w:r w:rsidRPr="00A245DA">
        <w:rPr>
          <w:rFonts w:ascii="Times New Roman" w:hAnsi="Times New Roman"/>
          <w:color w:val="000000"/>
        </w:rPr>
        <w:t>.</w:t>
      </w:r>
      <w:r w:rsidRPr="00A245DA">
        <w:rPr>
          <w:rFonts w:ascii="Times New Roman" w:hAnsi="Times New Roman"/>
          <w:bCs/>
          <w:lang w:eastAsia="et-EE"/>
        </w:rPr>
        <w:t xml:space="preserve"> Vahehindamine võimaldab hinnata projektide täitmist vastavalt seatud vahetasemetele ning teha vajadusel projektides parandusi, sh toetust põhjendatud juhtudel vähendada, kui peaks selguma, et projekt ei ole edenenud ootuspäraselt. Vahearuandes esitatakse kumulatiivsed andmed projekti saavutuste kohta. </w:t>
      </w:r>
    </w:p>
    <w:p w14:paraId="1651A595" w14:textId="4DAFFD67" w:rsidR="00F169CD" w:rsidRPr="00A245DA" w:rsidRDefault="00F169CD" w:rsidP="009B4455">
      <w:pPr>
        <w:spacing w:before="0" w:after="0"/>
        <w:ind w:firstLine="708"/>
        <w:rPr>
          <w:rFonts w:ascii="Times New Roman" w:hAnsi="Times New Roman"/>
          <w:bCs/>
          <w:lang w:eastAsia="et-EE"/>
        </w:rPr>
      </w:pPr>
      <w:r w:rsidRPr="00A245DA">
        <w:rPr>
          <w:rFonts w:ascii="Times New Roman" w:hAnsi="Times New Roman"/>
          <w:bCs/>
          <w:lang w:eastAsia="et-EE"/>
        </w:rPr>
        <w:t xml:space="preserve">ASTRA juhtkomisjon </w:t>
      </w:r>
      <w:r w:rsidR="007D1F5E" w:rsidRPr="00A245DA">
        <w:rPr>
          <w:rFonts w:ascii="Times New Roman" w:hAnsi="Times New Roman"/>
          <w:bCs/>
          <w:lang w:eastAsia="et-EE"/>
        </w:rPr>
        <w:t>teeb</w:t>
      </w:r>
      <w:r w:rsidR="00A27A72" w:rsidRPr="00A245DA">
        <w:rPr>
          <w:rFonts w:ascii="Times New Roman" w:hAnsi="Times New Roman"/>
          <w:bCs/>
          <w:lang w:eastAsia="et-EE"/>
        </w:rPr>
        <w:t xml:space="preserve"> </w:t>
      </w:r>
      <w:r w:rsidRPr="00A245DA">
        <w:rPr>
          <w:rFonts w:ascii="Times New Roman" w:hAnsi="Times New Roman"/>
          <w:bCs/>
          <w:lang w:eastAsia="et-EE"/>
        </w:rPr>
        <w:t>vahehindamise tulemustest lähtuvalt  rakendusüksusele ettepaneku projekti jätkamiseks samas mahus, toetust vähendada või rahastamine lõpetada. See tagab vahendite efektiivsema kasutamise ja motiveerib toetuse saajaid projekti lubatud tulemusi saavutama.</w:t>
      </w:r>
      <w:r w:rsidR="0091063C" w:rsidRPr="00A245DA">
        <w:rPr>
          <w:rFonts w:ascii="Times New Roman" w:hAnsi="Times New Roman"/>
          <w:bCs/>
          <w:lang w:eastAsia="et-EE"/>
        </w:rPr>
        <w:t xml:space="preserve"> </w:t>
      </w:r>
    </w:p>
    <w:p w14:paraId="554A111B" w14:textId="3807D957" w:rsidR="00F169CD" w:rsidRPr="00A245DA" w:rsidRDefault="00F169CD" w:rsidP="00F169CD">
      <w:pPr>
        <w:spacing w:before="0" w:after="0"/>
        <w:rPr>
          <w:rFonts w:ascii="Times New Roman" w:hAnsi="Times New Roman"/>
          <w:bCs/>
          <w:lang w:eastAsia="et-EE"/>
        </w:rPr>
      </w:pPr>
      <w:r w:rsidRPr="00A245DA">
        <w:rPr>
          <w:rFonts w:ascii="Times New Roman" w:hAnsi="Times New Roman"/>
          <w:bCs/>
          <w:color w:val="000000"/>
          <w:u w:val="single"/>
          <w:lang w:eastAsia="et-EE"/>
        </w:rPr>
        <w:t>Lõige 8</w:t>
      </w:r>
      <w:r w:rsidRPr="00A245DA">
        <w:rPr>
          <w:rFonts w:ascii="Times New Roman" w:hAnsi="Times New Roman"/>
          <w:bCs/>
          <w:color w:val="000000"/>
          <w:lang w:eastAsia="et-EE"/>
        </w:rPr>
        <w:t xml:space="preserve"> sätestab, et rakendusüksusel on õigus jätkuvalt, ka pärast vahehindamist projektide toetust põhjendatud juhtudel vähendada või toetuse andmine lõpetada. Ülevaade projektide edenemisest saadakse projekti aruannete põhjal. Põhjendatud juhtudeks on nt projektide eelarvete märgatav alakasutus võrreldes esitatud prognoosidega või seatud sihttasemete täitmata jätmine objektiivsete põhjuste puudumisel. </w:t>
      </w:r>
      <w:r w:rsidRPr="00A245DA">
        <w:rPr>
          <w:rFonts w:ascii="Times New Roman" w:hAnsi="Times New Roman"/>
          <w:bCs/>
          <w:lang w:eastAsia="et-EE"/>
        </w:rPr>
        <w:t>See tagab vahendite efektiivsema kasutamise ja motiveerib toetuse saajaid projekti lubatud tulemusi saavutama ka pärast vahehindamist.</w:t>
      </w:r>
    </w:p>
    <w:p w14:paraId="14E158DD" w14:textId="525E3837" w:rsidR="00217CED" w:rsidRPr="00A245DA" w:rsidRDefault="00217CED" w:rsidP="00217CED">
      <w:pPr>
        <w:spacing w:before="0" w:after="0"/>
        <w:rPr>
          <w:rFonts w:ascii="Times New Roman" w:hAnsi="Times New Roman"/>
          <w:bCs/>
          <w:iCs/>
          <w:lang w:eastAsia="et-EE"/>
        </w:rPr>
      </w:pPr>
      <w:r w:rsidRPr="00A245DA">
        <w:rPr>
          <w:rFonts w:ascii="Times New Roman" w:hAnsi="Times New Roman"/>
          <w:bCs/>
          <w:u w:val="single"/>
          <w:lang w:eastAsia="et-EE"/>
        </w:rPr>
        <w:t>Lõige 9</w:t>
      </w:r>
      <w:r w:rsidRPr="00A245DA">
        <w:rPr>
          <w:rFonts w:ascii="Times New Roman" w:hAnsi="Times New Roman"/>
          <w:bCs/>
          <w:lang w:eastAsia="et-EE"/>
        </w:rPr>
        <w:t xml:space="preserve"> annab rakendusüksusele võimaluse </w:t>
      </w:r>
      <w:r w:rsidRPr="00A245DA">
        <w:rPr>
          <w:rFonts w:ascii="Times New Roman" w:hAnsi="Times New Roman"/>
          <w:bCs/>
          <w:iCs/>
          <w:lang w:eastAsia="et-EE"/>
        </w:rPr>
        <w:t>projekti toetust vähendada proportsionaalselt §-s 9 lõikes 6 toodud piirmääraga juhul, kui toetuse saaja poolt rakendusüksusele iga-aastaselt esitatud andmete alusel selgub, et projekti majandustegevuse aastane maht ületab 20% teadusuuringute infrastruktuuri üldisest aastasest mahust, või juhul, kui toetuse saaja, kes on saanud riigiabi, teavitab rakendusüksust majandustegevuse osa suurenemise kohta, mis tähendab, et projekti majandustegevuse aastane maht ületab toetuse taotlemise hetkel fikseeritud majandustegevuse mahtu.</w:t>
      </w:r>
    </w:p>
    <w:p w14:paraId="583787EE" w14:textId="77777777" w:rsidR="00217CED" w:rsidRPr="00A245DA" w:rsidRDefault="00217CED" w:rsidP="00F169CD">
      <w:pPr>
        <w:spacing w:before="0" w:after="0"/>
        <w:rPr>
          <w:rFonts w:ascii="Times New Roman" w:hAnsi="Times New Roman"/>
          <w:bCs/>
          <w:lang w:eastAsia="et-EE"/>
        </w:rPr>
      </w:pPr>
    </w:p>
    <w:p w14:paraId="157F19B2" w14:textId="490335AC" w:rsidR="00F169CD" w:rsidRPr="00A245DA" w:rsidRDefault="00F169CD" w:rsidP="00F169CD">
      <w:pPr>
        <w:spacing w:before="0" w:after="0"/>
        <w:rPr>
          <w:rFonts w:ascii="Times New Roman" w:hAnsi="Times New Roman"/>
          <w:lang w:eastAsia="et-EE"/>
        </w:rPr>
      </w:pPr>
      <w:r w:rsidRPr="00A245DA">
        <w:rPr>
          <w:rFonts w:ascii="Times New Roman" w:hAnsi="Times New Roman"/>
          <w:bCs/>
          <w:lang w:eastAsia="et-EE"/>
        </w:rPr>
        <w:t xml:space="preserve">Vastavalt </w:t>
      </w:r>
      <w:r w:rsidRPr="00A245DA">
        <w:rPr>
          <w:rFonts w:ascii="Times New Roman" w:hAnsi="Times New Roman"/>
          <w:bCs/>
          <w:u w:val="single"/>
          <w:lang w:eastAsia="et-EE"/>
        </w:rPr>
        <w:t xml:space="preserve">lõikele </w:t>
      </w:r>
      <w:r w:rsidR="00217CED" w:rsidRPr="00A245DA">
        <w:rPr>
          <w:rFonts w:ascii="Times New Roman" w:hAnsi="Times New Roman"/>
          <w:bCs/>
          <w:u w:val="single"/>
          <w:lang w:eastAsia="et-EE"/>
        </w:rPr>
        <w:t>10</w:t>
      </w:r>
      <w:r w:rsidR="00217CED" w:rsidRPr="00A245DA">
        <w:rPr>
          <w:rFonts w:ascii="Times New Roman" w:hAnsi="Times New Roman"/>
          <w:bCs/>
          <w:lang w:eastAsia="et-EE"/>
        </w:rPr>
        <w:t xml:space="preserve"> </w:t>
      </w:r>
      <w:r w:rsidRPr="00A245DA">
        <w:rPr>
          <w:rFonts w:ascii="Times New Roman" w:hAnsi="Times New Roman"/>
          <w:bCs/>
          <w:lang w:eastAsia="et-EE"/>
        </w:rPr>
        <w:t xml:space="preserve">esitatakse projekti lõpparuanne 2 kuu jooksul pärast projekti lõppemist. Lõpparuandeid hindab ASTRA juhtkomisjon. Kui lõpparuanne on heaks kiidetud ja kinnitatud, teeb rakendusüksus </w:t>
      </w:r>
      <w:r w:rsidR="007818B9" w:rsidRPr="00A245DA">
        <w:rPr>
          <w:rFonts w:ascii="Times New Roman" w:hAnsi="Times New Roman"/>
          <w:bCs/>
          <w:lang w:eastAsia="et-EE"/>
        </w:rPr>
        <w:t xml:space="preserve">juhtkomisjoni ettepanekul </w:t>
      </w:r>
      <w:r w:rsidRPr="00A245DA">
        <w:rPr>
          <w:rFonts w:ascii="Times New Roman" w:hAnsi="Times New Roman"/>
          <w:bCs/>
          <w:lang w:eastAsia="et-EE"/>
        </w:rPr>
        <w:t xml:space="preserve">projektile </w:t>
      </w:r>
      <w:r w:rsidR="007818B9" w:rsidRPr="00A245DA">
        <w:rPr>
          <w:rFonts w:ascii="Times New Roman" w:hAnsi="Times New Roman"/>
          <w:bCs/>
          <w:lang w:eastAsia="et-EE"/>
        </w:rPr>
        <w:t xml:space="preserve">selle tulemuste saavutamisel </w:t>
      </w:r>
      <w:r w:rsidR="00C5276D" w:rsidRPr="00A245DA">
        <w:rPr>
          <w:rFonts w:ascii="Times New Roman" w:hAnsi="Times New Roman"/>
          <w:bCs/>
          <w:lang w:eastAsia="et-EE"/>
        </w:rPr>
        <w:t xml:space="preserve">ja projekti tegevuste väljundnäitajate sihttasemete täitmisel </w:t>
      </w:r>
      <w:r w:rsidRPr="00A245DA">
        <w:rPr>
          <w:rFonts w:ascii="Times New Roman" w:hAnsi="Times New Roman"/>
          <w:bCs/>
          <w:lang w:eastAsia="et-EE"/>
        </w:rPr>
        <w:t>lõppmakse, mille suuruseks on sisutegevuste puhul 20% ja hoonete puhul 5%</w:t>
      </w:r>
      <w:r w:rsidRPr="00A245DA">
        <w:rPr>
          <w:rFonts w:ascii="Times New Roman" w:hAnsi="Times New Roman"/>
          <w:lang w:eastAsia="et-EE"/>
        </w:rPr>
        <w:t xml:space="preserve"> (vt käesoleva määruse § 26 lg 9)</w:t>
      </w:r>
      <w:r w:rsidR="007818B9" w:rsidRPr="00A245DA">
        <w:rPr>
          <w:rFonts w:ascii="Times New Roman" w:hAnsi="Times New Roman"/>
          <w:lang w:eastAsia="et-EE"/>
        </w:rPr>
        <w:t>.</w:t>
      </w:r>
      <w:r w:rsidRPr="00A245DA">
        <w:rPr>
          <w:rFonts w:ascii="Times New Roman" w:hAnsi="Times New Roman"/>
          <w:lang w:eastAsia="et-EE"/>
        </w:rPr>
        <w:t xml:space="preserve"> Kui projekti </w:t>
      </w:r>
      <w:r w:rsidR="00B96F86" w:rsidRPr="00A245DA">
        <w:rPr>
          <w:rFonts w:ascii="Times New Roman" w:hAnsi="Times New Roman"/>
          <w:lang w:eastAsia="et-EE"/>
        </w:rPr>
        <w:t xml:space="preserve">tulemused ja väljundnäitajate </w:t>
      </w:r>
      <w:r w:rsidRPr="00A245DA">
        <w:rPr>
          <w:rFonts w:ascii="Times New Roman" w:hAnsi="Times New Roman"/>
          <w:lang w:eastAsia="et-EE"/>
        </w:rPr>
        <w:t xml:space="preserve">sihttasemed on olulises osas täitmata, on rakendusüksusel õigus juhtkomisjoni heakskiidul vähendada projekti lõppmakse suurust või jätta lõppmakse tegemata.  </w:t>
      </w:r>
      <w:r w:rsidRPr="00A245DA">
        <w:rPr>
          <w:rFonts w:ascii="Times New Roman" w:hAnsi="Times New Roman"/>
          <w:bCs/>
          <w:lang w:eastAsia="et-EE"/>
        </w:rPr>
        <w:t xml:space="preserve">See tagab vahendite efektiivsema kasutamise ja motiveerib toetuse saajaid projekti lubatud tulemusi saavutama. Samuti võimaldab </w:t>
      </w:r>
      <w:r w:rsidRPr="00A245DA">
        <w:rPr>
          <w:rFonts w:ascii="Times New Roman" w:hAnsi="Times New Roman"/>
          <w:bCs/>
          <w:lang w:eastAsia="et-EE"/>
        </w:rPr>
        <w:lastRenderedPageBreak/>
        <w:t>selline mehhanism vältida olukorda, kus periood</w:t>
      </w:r>
      <w:r w:rsidR="000B66FA" w:rsidRPr="00A245DA">
        <w:rPr>
          <w:rFonts w:ascii="Times New Roman" w:hAnsi="Times New Roman"/>
          <w:bCs/>
          <w:lang w:eastAsia="et-EE"/>
        </w:rPr>
        <w:t>i</w:t>
      </w:r>
      <w:r w:rsidRPr="00A245DA">
        <w:rPr>
          <w:rFonts w:ascii="Times New Roman" w:hAnsi="Times New Roman"/>
          <w:bCs/>
          <w:lang w:eastAsia="et-EE"/>
        </w:rPr>
        <w:t xml:space="preserve"> lõpuks tekivad projektides märgatavad eelarvejäägid, kuid neid ei ole võimalik ümber suunata teiste meetmete tegevustele.</w:t>
      </w:r>
    </w:p>
    <w:p w14:paraId="48096FD2" w14:textId="367CA6C0" w:rsidR="00F169CD" w:rsidRPr="00A245DA" w:rsidRDefault="00F169CD" w:rsidP="00F169CD">
      <w:pPr>
        <w:spacing w:before="0" w:after="0"/>
        <w:rPr>
          <w:rFonts w:ascii="Times New Roman" w:hAnsi="Times New Roman"/>
          <w:bCs/>
          <w:color w:val="000000"/>
          <w:lang w:eastAsia="et-EE"/>
        </w:rPr>
      </w:pPr>
      <w:r w:rsidRPr="00A245DA">
        <w:rPr>
          <w:rFonts w:ascii="Times New Roman" w:hAnsi="Times New Roman"/>
          <w:bCs/>
          <w:u w:val="single"/>
          <w:lang w:eastAsia="et-EE"/>
        </w:rPr>
        <w:t xml:space="preserve">Lõige </w:t>
      </w:r>
      <w:r w:rsidR="008A0E2F" w:rsidRPr="00A245DA">
        <w:rPr>
          <w:rFonts w:ascii="Times New Roman" w:hAnsi="Times New Roman"/>
          <w:bCs/>
          <w:u w:val="single"/>
          <w:lang w:eastAsia="et-EE"/>
        </w:rPr>
        <w:t>11</w:t>
      </w:r>
      <w:r w:rsidR="008A0E2F" w:rsidRPr="00A245DA">
        <w:rPr>
          <w:rFonts w:ascii="Times New Roman" w:hAnsi="Times New Roman"/>
          <w:bCs/>
          <w:lang w:eastAsia="et-EE"/>
        </w:rPr>
        <w:t xml:space="preserve"> </w:t>
      </w:r>
      <w:r w:rsidRPr="00A245DA">
        <w:rPr>
          <w:rFonts w:ascii="Times New Roman" w:hAnsi="Times New Roman"/>
          <w:bCs/>
          <w:lang w:eastAsia="et-EE"/>
        </w:rPr>
        <w:t>täpsustab, et kõikide aruannete vormid kehtestab rakendusüksus ning need saavad olema toetuse saajatele kättesaadavad rakendusüksuse ve</w:t>
      </w:r>
      <w:r w:rsidRPr="00A245DA">
        <w:rPr>
          <w:rFonts w:ascii="Times New Roman" w:hAnsi="Times New Roman"/>
          <w:bCs/>
          <w:color w:val="000000"/>
          <w:lang w:eastAsia="et-EE"/>
        </w:rPr>
        <w:t>ebilehel.</w:t>
      </w:r>
    </w:p>
    <w:p w14:paraId="405EC63D" w14:textId="77777777" w:rsidR="002460E2" w:rsidRPr="00A245DA" w:rsidRDefault="002460E2" w:rsidP="002460E2">
      <w:pPr>
        <w:pStyle w:val="NoSpacing"/>
        <w:jc w:val="both"/>
        <w:rPr>
          <w:rFonts w:ascii="Times New Roman" w:eastAsia="Times New Roman" w:hAnsi="Times New Roman" w:cs="Times New Roman"/>
          <w:b/>
          <w:lang w:eastAsia="et-EE"/>
        </w:rPr>
      </w:pPr>
    </w:p>
    <w:p w14:paraId="0EE7DDD7" w14:textId="77777777" w:rsidR="002460E2" w:rsidRPr="00A245DA" w:rsidRDefault="002460E2" w:rsidP="002460E2">
      <w:pPr>
        <w:pStyle w:val="NoSpacing"/>
        <w:jc w:val="both"/>
        <w:rPr>
          <w:rFonts w:ascii="Times New Roman" w:eastAsia="Times New Roman" w:hAnsi="Times New Roman" w:cs="Times New Roman"/>
          <w:lang w:eastAsia="et-EE"/>
        </w:rPr>
      </w:pPr>
      <w:r w:rsidRPr="00A245DA">
        <w:rPr>
          <w:rFonts w:ascii="Times New Roman" w:eastAsia="Times New Roman" w:hAnsi="Times New Roman" w:cs="Times New Roman"/>
          <w:u w:val="single"/>
          <w:lang w:eastAsia="et-EE"/>
        </w:rPr>
        <w:t>Eelnõu § 26</w:t>
      </w:r>
      <w:r w:rsidRPr="00A245DA">
        <w:rPr>
          <w:rFonts w:ascii="Times New Roman" w:eastAsia="Times New Roman" w:hAnsi="Times New Roman" w:cs="Times New Roman"/>
          <w:lang w:eastAsia="et-EE"/>
        </w:rPr>
        <w:t xml:space="preserve"> sätestab, et toetuse väljamaksed tehakse vastavalt perioodi 2014−2020 struktuuritoetuse seaduse §-des 28 ja 29, ühendmääruse §-des 11-15 ning 18 ning määruses ja taotluse rahuldamise otsuses sätestatud maksete tegemise täpsustavatele tingimustele.</w:t>
      </w:r>
    </w:p>
    <w:p w14:paraId="7036461D" w14:textId="77777777" w:rsidR="002460E2" w:rsidRPr="00A245DA" w:rsidRDefault="002460E2" w:rsidP="002460E2">
      <w:pPr>
        <w:pStyle w:val="NoSpacing"/>
        <w:jc w:val="both"/>
        <w:rPr>
          <w:rFonts w:ascii="Times New Roman" w:eastAsia="Times New Roman" w:hAnsi="Times New Roman" w:cs="Times New Roman"/>
          <w:lang w:eastAsia="et-EE"/>
        </w:rPr>
      </w:pPr>
    </w:p>
    <w:p w14:paraId="6D2CAB89" w14:textId="77777777" w:rsidR="002460E2" w:rsidRPr="00A245DA" w:rsidRDefault="002460E2" w:rsidP="002460E2">
      <w:pPr>
        <w:pStyle w:val="NoSpacing"/>
        <w:jc w:val="both"/>
        <w:rPr>
          <w:rFonts w:ascii="Times New Roman" w:hAnsi="Times New Roman" w:cs="Times New Roman"/>
          <w:lang w:eastAsia="et-EE"/>
        </w:rPr>
      </w:pPr>
      <w:r w:rsidRPr="00A245DA">
        <w:rPr>
          <w:rFonts w:ascii="Times New Roman" w:hAnsi="Times New Roman" w:cs="Times New Roman"/>
          <w:lang w:eastAsia="et-EE"/>
        </w:rPr>
        <w:t>Toetuse väljamakseid teostatakse järgmiselt:</w:t>
      </w:r>
    </w:p>
    <w:p w14:paraId="65BDA146" w14:textId="77777777" w:rsidR="002460E2" w:rsidRPr="00A245DA" w:rsidRDefault="002460E2" w:rsidP="002460E2">
      <w:pPr>
        <w:pStyle w:val="NoSpacing"/>
        <w:numPr>
          <w:ilvl w:val="0"/>
          <w:numId w:val="16"/>
        </w:numPr>
        <w:jc w:val="both"/>
        <w:rPr>
          <w:rFonts w:ascii="Times New Roman" w:hAnsi="Times New Roman" w:cs="Times New Roman"/>
          <w:lang w:eastAsia="et-EE"/>
        </w:rPr>
      </w:pPr>
      <w:r w:rsidRPr="00A245DA">
        <w:rPr>
          <w:rFonts w:ascii="Times New Roman" w:hAnsi="Times New Roman" w:cs="Times New Roman"/>
          <w:lang w:eastAsia="et-EE"/>
        </w:rPr>
        <w:t>peale abikõlbliku kulu tekkimist tegelike kulude alusel vastavalt ühendmääruse § 14 lõike 1 punkti 1 alusel;</w:t>
      </w:r>
    </w:p>
    <w:p w14:paraId="36E0FA09" w14:textId="10889873" w:rsidR="002460E2" w:rsidRPr="00A245DA" w:rsidRDefault="002460E2" w:rsidP="002460E2">
      <w:pPr>
        <w:pStyle w:val="NoSpacing"/>
        <w:numPr>
          <w:ilvl w:val="0"/>
          <w:numId w:val="16"/>
        </w:numPr>
        <w:jc w:val="both"/>
        <w:rPr>
          <w:rFonts w:ascii="Times New Roman" w:hAnsi="Times New Roman" w:cs="Times New Roman"/>
          <w:lang w:eastAsia="et-EE"/>
        </w:rPr>
      </w:pPr>
      <w:r w:rsidRPr="00A245DA">
        <w:rPr>
          <w:rFonts w:ascii="Times New Roman" w:hAnsi="Times New Roman" w:cs="Times New Roman"/>
          <w:lang w:eastAsia="et-EE"/>
        </w:rPr>
        <w:t>kaudsed kulusid hüvitatakse ühtse määrana 15% ulatuses projekti abikõlblikest otsestest personalikuludest</w:t>
      </w:r>
      <w:r w:rsidR="00E57852" w:rsidRPr="00A245DA">
        <w:rPr>
          <w:rFonts w:ascii="Times New Roman" w:hAnsi="Times New Roman" w:cs="Times New Roman"/>
          <w:lang w:eastAsia="et-EE"/>
        </w:rPr>
        <w:t>. Väljamakse kaudsete kulude hüvitamiseks tehakse tegelikult välja makstud otseste personalikulude alusel</w:t>
      </w:r>
      <w:r w:rsidRPr="00A245DA">
        <w:rPr>
          <w:rFonts w:ascii="Times New Roman" w:hAnsi="Times New Roman" w:cs="Times New Roman"/>
          <w:lang w:eastAsia="et-EE"/>
        </w:rPr>
        <w:t>;</w:t>
      </w:r>
    </w:p>
    <w:p w14:paraId="6FE4EB8E" w14:textId="77777777" w:rsidR="002460E2" w:rsidRPr="00A245DA" w:rsidRDefault="002460E2" w:rsidP="002460E2">
      <w:pPr>
        <w:pStyle w:val="NoSpacing"/>
        <w:numPr>
          <w:ilvl w:val="0"/>
          <w:numId w:val="16"/>
        </w:numPr>
        <w:jc w:val="both"/>
        <w:rPr>
          <w:rFonts w:ascii="Times New Roman" w:hAnsi="Times New Roman" w:cs="Times New Roman"/>
          <w:lang w:eastAsia="et-EE"/>
        </w:rPr>
      </w:pPr>
      <w:r w:rsidRPr="00A245DA">
        <w:rPr>
          <w:rFonts w:ascii="Times New Roman" w:hAnsi="Times New Roman" w:cs="Times New Roman"/>
          <w:lang w:eastAsia="et-EE"/>
        </w:rPr>
        <w:t>põhjendatud juhtudel ettemaksetena;</w:t>
      </w:r>
    </w:p>
    <w:p w14:paraId="3C2DA0F2" w14:textId="77777777" w:rsidR="002460E2" w:rsidRPr="00A245DA" w:rsidRDefault="002460E2" w:rsidP="002460E2">
      <w:pPr>
        <w:pStyle w:val="NoSpacing"/>
        <w:numPr>
          <w:ilvl w:val="0"/>
          <w:numId w:val="16"/>
        </w:numPr>
        <w:jc w:val="both"/>
        <w:rPr>
          <w:rFonts w:ascii="Times New Roman" w:hAnsi="Times New Roman" w:cs="Times New Roman"/>
          <w:lang w:eastAsia="et-EE"/>
        </w:rPr>
      </w:pPr>
      <w:r w:rsidRPr="00A245DA">
        <w:rPr>
          <w:rFonts w:ascii="Times New Roman" w:hAnsi="Times New Roman" w:cs="Times New Roman"/>
          <w:lang w:eastAsia="et-EE"/>
        </w:rPr>
        <w:t>sildfinantseerimise kaudu vastavalt rahandusministri 10.09.2014 määrusele nr 30 „Kassalise teenindamise eeskiri“.</w:t>
      </w:r>
    </w:p>
    <w:p w14:paraId="3D842F38" w14:textId="77777777" w:rsidR="002460E2" w:rsidRPr="00A245DA" w:rsidRDefault="002460E2" w:rsidP="002460E2">
      <w:pPr>
        <w:pStyle w:val="NoSpacing"/>
        <w:jc w:val="both"/>
        <w:rPr>
          <w:rFonts w:ascii="Times New Roman" w:eastAsia="Times New Roman" w:hAnsi="Times New Roman" w:cs="Times New Roman"/>
          <w:lang w:eastAsia="et-EE"/>
        </w:rPr>
      </w:pPr>
    </w:p>
    <w:p w14:paraId="13143FE1" w14:textId="77777777" w:rsidR="002460E2" w:rsidRPr="00A245DA" w:rsidRDefault="002460E2" w:rsidP="002460E2">
      <w:pPr>
        <w:pStyle w:val="NoSpacing"/>
        <w:jc w:val="both"/>
        <w:rPr>
          <w:rFonts w:ascii="Times New Roman" w:eastAsia="Times New Roman" w:hAnsi="Times New Roman" w:cs="Times New Roman"/>
          <w:lang w:eastAsia="et-EE"/>
        </w:rPr>
      </w:pPr>
      <w:r w:rsidRPr="00A245DA">
        <w:rPr>
          <w:rFonts w:ascii="Times New Roman" w:eastAsia="Times New Roman" w:hAnsi="Times New Roman" w:cs="Times New Roman"/>
          <w:lang w:eastAsia="et-EE"/>
        </w:rPr>
        <w:t xml:space="preserve">Eelnõuga nähakse ette toetuse saajate poolt maksetaotluste esitamist rakendusüksusele,  rakendusüksuse poolt maksete tegemisele eelnevad tegevused ja tähtajad, maksetaotluse ja ettemakse kasutamise aruande menetlemise osalist või täieliku peatamist perioodi 2014−2020 struktuuritoetuse seaduse § 30 lõikes 1 sätestatud juhul, maksetaotluses ilmnenud puuduste kõrvaldamise korda ning lõppmaksete tegemist. </w:t>
      </w:r>
    </w:p>
    <w:p w14:paraId="2B23D726" w14:textId="3F8E4391" w:rsidR="00BA41B9" w:rsidRPr="00A245DA" w:rsidRDefault="00BA41B9" w:rsidP="0005104D">
      <w:pPr>
        <w:pStyle w:val="NoSpacing"/>
        <w:ind w:firstLine="708"/>
        <w:jc w:val="both"/>
        <w:rPr>
          <w:rFonts w:ascii="Times New Roman" w:eastAsia="Times New Roman" w:hAnsi="Times New Roman" w:cs="Times New Roman"/>
          <w:b/>
          <w:lang w:eastAsia="et-EE"/>
        </w:rPr>
      </w:pPr>
      <w:r w:rsidRPr="00A245DA">
        <w:rPr>
          <w:rFonts w:ascii="Times New Roman" w:eastAsia="Times New Roman" w:hAnsi="Times New Roman" w:cs="Times New Roman"/>
          <w:lang w:eastAsia="et-EE"/>
        </w:rPr>
        <w:t xml:space="preserve">Projekti lõppmaksele on kehtestatud piirmäärad, mis </w:t>
      </w:r>
      <w:r w:rsidRPr="00A245DA">
        <w:rPr>
          <w:rFonts w:ascii="Times New Roman" w:hAnsi="Times New Roman" w:cs="Times New Roman"/>
          <w:bCs/>
          <w:lang w:eastAsia="et-EE"/>
        </w:rPr>
        <w:t xml:space="preserve">on sisutegevuste puhul </w:t>
      </w:r>
      <w:r w:rsidR="007D1F5E" w:rsidRPr="00A245DA">
        <w:rPr>
          <w:rFonts w:ascii="Times New Roman" w:hAnsi="Times New Roman" w:cs="Times New Roman"/>
          <w:bCs/>
          <w:lang w:eastAsia="et-EE"/>
        </w:rPr>
        <w:t>1</w:t>
      </w:r>
      <w:r w:rsidR="007818B9" w:rsidRPr="00A245DA">
        <w:rPr>
          <w:rFonts w:ascii="Times New Roman" w:hAnsi="Times New Roman" w:cs="Times New Roman"/>
          <w:bCs/>
          <w:lang w:eastAsia="et-EE"/>
        </w:rPr>
        <w:t>0</w:t>
      </w:r>
      <w:r w:rsidRPr="00A245DA">
        <w:rPr>
          <w:rFonts w:ascii="Times New Roman" w:hAnsi="Times New Roman" w:cs="Times New Roman"/>
          <w:bCs/>
          <w:lang w:eastAsia="et-EE"/>
        </w:rPr>
        <w:t xml:space="preserve">% ja hoonete </w:t>
      </w:r>
      <w:r w:rsidR="002A4EF2" w:rsidRPr="00A245DA">
        <w:rPr>
          <w:rFonts w:ascii="Times New Roman" w:hAnsi="Times New Roman" w:cs="Times New Roman"/>
          <w:bCs/>
          <w:lang w:eastAsia="et-EE"/>
        </w:rPr>
        <w:t xml:space="preserve">rajamise </w:t>
      </w:r>
      <w:r w:rsidRPr="00A245DA">
        <w:rPr>
          <w:rFonts w:ascii="Times New Roman" w:hAnsi="Times New Roman" w:cs="Times New Roman"/>
          <w:bCs/>
          <w:lang w:eastAsia="et-EE"/>
        </w:rPr>
        <w:t>puhul 5%.</w:t>
      </w:r>
      <w:r w:rsidRPr="00A245DA">
        <w:rPr>
          <w:rFonts w:ascii="Times New Roman" w:hAnsi="Times New Roman" w:cs="Times New Roman"/>
          <w:lang w:eastAsia="et-EE"/>
        </w:rPr>
        <w:t xml:space="preserve"> Erinevate piirmäärade kehtestamise tingib toetatavate tegevuste eripära ja maksumus. Lõppmakse teostatakse pärast </w:t>
      </w:r>
      <w:r w:rsidRPr="00A245DA">
        <w:rPr>
          <w:rFonts w:ascii="Times New Roman" w:hAnsi="Times New Roman" w:cs="Times New Roman"/>
          <w:bCs/>
          <w:lang w:eastAsia="et-EE"/>
        </w:rPr>
        <w:t xml:space="preserve">lõpparuande heakskiitmist ja kinnitamist. </w:t>
      </w:r>
      <w:r w:rsidR="001E57C7" w:rsidRPr="00A245DA">
        <w:rPr>
          <w:rFonts w:ascii="Times New Roman" w:hAnsi="Times New Roman" w:cs="Times New Roman"/>
          <w:bCs/>
          <w:lang w:eastAsia="et-EE"/>
        </w:rPr>
        <w:t xml:space="preserve">Kui projekti tulemused ja tegevuste väljundnäitajate sihttasemed </w:t>
      </w:r>
      <w:r w:rsidR="00DA0653" w:rsidRPr="00A245DA">
        <w:rPr>
          <w:rFonts w:ascii="Times New Roman" w:hAnsi="Times New Roman" w:cs="Times New Roman"/>
          <w:bCs/>
          <w:lang w:eastAsia="et-EE"/>
        </w:rPr>
        <w:t xml:space="preserve">on </w:t>
      </w:r>
      <w:r w:rsidR="001E57C7" w:rsidRPr="00A245DA">
        <w:rPr>
          <w:rFonts w:ascii="Times New Roman" w:hAnsi="Times New Roman" w:cs="Times New Roman"/>
          <w:bCs/>
          <w:lang w:eastAsia="et-EE"/>
        </w:rPr>
        <w:t xml:space="preserve">saavutatud, teeb rakendusüksus juhtkomisjoni heakskiidul lõppmakse täismahus. </w:t>
      </w:r>
      <w:r w:rsidRPr="00A245DA">
        <w:rPr>
          <w:rFonts w:ascii="Times New Roman" w:hAnsi="Times New Roman" w:cs="Times New Roman"/>
          <w:lang w:eastAsia="et-EE"/>
        </w:rPr>
        <w:t xml:space="preserve">Kui projekti </w:t>
      </w:r>
      <w:r w:rsidR="00DF0D42" w:rsidRPr="00A245DA">
        <w:rPr>
          <w:rFonts w:ascii="Times New Roman" w:hAnsi="Times New Roman" w:cs="Times New Roman"/>
          <w:lang w:eastAsia="et-EE"/>
        </w:rPr>
        <w:t xml:space="preserve">tulemused on saavutamata või tegevuste väljundnäitajate </w:t>
      </w:r>
      <w:r w:rsidRPr="00A245DA">
        <w:rPr>
          <w:rFonts w:ascii="Times New Roman" w:hAnsi="Times New Roman" w:cs="Times New Roman"/>
          <w:lang w:eastAsia="et-EE"/>
        </w:rPr>
        <w:t xml:space="preserve">sihttasemed on olulises osas täitmata, on rakendusüksusel õigus juhtkomisjoni heakskiidul vähendada projekti lõppmakse suurust või jätta lõppmakse tegemata.  </w:t>
      </w:r>
      <w:r w:rsidRPr="00A245DA">
        <w:rPr>
          <w:rFonts w:ascii="Times New Roman" w:hAnsi="Times New Roman" w:cs="Times New Roman"/>
          <w:bCs/>
          <w:lang w:eastAsia="et-EE"/>
        </w:rPr>
        <w:t>See tagab vahendite efektiivsema kasutamise ja motiveerib toetuse saajaid projekti lubatud tulemusi saavutama.</w:t>
      </w:r>
    </w:p>
    <w:p w14:paraId="0AE347A0" w14:textId="77777777" w:rsidR="002460E2" w:rsidRPr="00A245DA" w:rsidRDefault="002460E2" w:rsidP="002460E2">
      <w:pPr>
        <w:pStyle w:val="NoSpacing"/>
        <w:jc w:val="both"/>
        <w:rPr>
          <w:rFonts w:ascii="Times New Roman" w:eastAsia="Times New Roman" w:hAnsi="Times New Roman" w:cs="Times New Roman"/>
          <w:b/>
          <w:lang w:eastAsia="et-EE"/>
        </w:rPr>
      </w:pPr>
    </w:p>
    <w:p w14:paraId="4C3F7108" w14:textId="77777777" w:rsidR="002460E2" w:rsidRPr="00A245DA" w:rsidRDefault="002460E2" w:rsidP="002460E2">
      <w:pPr>
        <w:pStyle w:val="NoSpacing"/>
        <w:jc w:val="both"/>
        <w:rPr>
          <w:rFonts w:ascii="Times New Roman" w:eastAsia="Times New Roman" w:hAnsi="Times New Roman" w:cs="Times New Roman"/>
          <w:b/>
          <w:lang w:eastAsia="et-EE"/>
        </w:rPr>
      </w:pPr>
      <w:r w:rsidRPr="00A245DA">
        <w:rPr>
          <w:rFonts w:ascii="Times New Roman" w:eastAsia="Times New Roman" w:hAnsi="Times New Roman" w:cs="Times New Roman"/>
          <w:b/>
          <w:lang w:eastAsia="et-EE"/>
        </w:rPr>
        <w:t xml:space="preserve">Eelnõu 8. peatükis </w:t>
      </w:r>
    </w:p>
    <w:p w14:paraId="38E02AAE" w14:textId="77777777" w:rsidR="002460E2" w:rsidRPr="00A245DA" w:rsidRDefault="002460E2" w:rsidP="002460E2">
      <w:pPr>
        <w:pStyle w:val="NoSpacing"/>
        <w:jc w:val="both"/>
        <w:rPr>
          <w:rFonts w:ascii="Times New Roman" w:eastAsia="Times New Roman" w:hAnsi="Times New Roman" w:cs="Times New Roman"/>
          <w:lang w:eastAsia="et-EE"/>
        </w:rPr>
      </w:pPr>
      <w:r w:rsidRPr="00A245DA">
        <w:rPr>
          <w:rFonts w:ascii="Times New Roman" w:eastAsia="Times New Roman" w:hAnsi="Times New Roman" w:cs="Times New Roman"/>
          <w:lang w:eastAsia="et-EE"/>
        </w:rPr>
        <w:t>kirjeldatakse toetuse saaja ja partneri kohustusi ja õigusi, rakendusüksuse kohustusi ning sätestatakse  finantskorrektsioonide tegemise alused.</w:t>
      </w:r>
    </w:p>
    <w:p w14:paraId="0AD228D6" w14:textId="77777777" w:rsidR="002460E2" w:rsidRPr="00A245DA" w:rsidRDefault="002460E2" w:rsidP="002460E2">
      <w:pPr>
        <w:pStyle w:val="NoSpacing"/>
        <w:jc w:val="both"/>
        <w:rPr>
          <w:rFonts w:ascii="Times New Roman" w:eastAsia="Times New Roman" w:hAnsi="Times New Roman" w:cs="Times New Roman"/>
          <w:lang w:eastAsia="et-EE"/>
        </w:rPr>
      </w:pPr>
    </w:p>
    <w:p w14:paraId="69DB4AA8" w14:textId="0811FEC6" w:rsidR="002F4106" w:rsidRPr="00A245DA" w:rsidRDefault="002460E2" w:rsidP="002F4106">
      <w:pPr>
        <w:spacing w:after="0"/>
        <w:rPr>
          <w:rFonts w:ascii="Times New Roman" w:hAnsi="Times New Roman"/>
          <w:lang w:eastAsia="et-EE"/>
        </w:rPr>
      </w:pPr>
      <w:r w:rsidRPr="00A245DA">
        <w:rPr>
          <w:rFonts w:ascii="Times New Roman" w:hAnsi="Times New Roman"/>
          <w:u w:val="single"/>
          <w:lang w:eastAsia="et-EE"/>
        </w:rPr>
        <w:t xml:space="preserve">§ 27 </w:t>
      </w:r>
      <w:r w:rsidRPr="00A245DA">
        <w:rPr>
          <w:rFonts w:ascii="Times New Roman" w:hAnsi="Times New Roman"/>
          <w:lang w:eastAsia="et-EE"/>
        </w:rPr>
        <w:t>sätestab toetuse saaja õigused ja partneri kohustused vastavalt perioodi 2014-2020 struktuuritoetuse seaduse §-des 24-</w:t>
      </w:r>
      <w:r w:rsidR="009B4455" w:rsidRPr="00A245DA">
        <w:rPr>
          <w:rFonts w:ascii="Times New Roman" w:hAnsi="Times New Roman"/>
          <w:lang w:eastAsia="et-EE"/>
        </w:rPr>
        <w:t>26</w:t>
      </w:r>
      <w:r w:rsidRPr="00A245DA">
        <w:rPr>
          <w:rFonts w:ascii="Times New Roman" w:hAnsi="Times New Roman"/>
          <w:lang w:eastAsia="et-EE"/>
        </w:rPr>
        <w:t xml:space="preserve"> toodule.</w:t>
      </w:r>
      <w:r w:rsidR="002F4106" w:rsidRPr="00A245DA">
        <w:rPr>
          <w:rFonts w:ascii="Times New Roman" w:hAnsi="Times New Roman"/>
          <w:lang w:eastAsia="et-EE"/>
        </w:rPr>
        <w:t xml:space="preserve"> STS-is nimetatud kohustused rakenduvad sõltumata sellest, kas toetuse andmise tingimuste määruses või taotluse rahuldamise otsuses on nendele viidatud või need üles loetletud. Toetuse saaja poolt kohustuste tagamine tähendab seda, et kohustus peab olema täidetud kas tema enda või partneri poolt.</w:t>
      </w:r>
    </w:p>
    <w:p w14:paraId="57F90A6E" w14:textId="17D9EA83" w:rsidR="002F4106" w:rsidRPr="00A245DA" w:rsidRDefault="002F4106" w:rsidP="002F4106">
      <w:pPr>
        <w:spacing w:after="0"/>
        <w:rPr>
          <w:rFonts w:ascii="Times New Roman" w:hAnsi="Times New Roman"/>
          <w:lang w:eastAsia="et-EE"/>
        </w:rPr>
      </w:pPr>
      <w:r w:rsidRPr="00A245DA">
        <w:rPr>
          <w:rFonts w:ascii="Times New Roman" w:hAnsi="Times New Roman"/>
          <w:lang w:eastAsia="et-EE"/>
        </w:rPr>
        <w:t>Eraldi tuleb välja tuua, et toetuse saaja peab järgima riigiabi reegleid, kui toetuse saamise näol on tegemist sellise abi saamisega. Nimetatud reeglitest tuleneva kohustuse rikkumine võib kaasa tuua toetuse vähendamise ja toetuse tagasinõudmise, kuna tegemist oleks toetuse kasutamisega seotud EL õigusaktide, sh EL huvide, rikkumisega.</w:t>
      </w:r>
      <w:r w:rsidR="00980EFC" w:rsidRPr="00A245DA">
        <w:rPr>
          <w:rFonts w:ascii="Times New Roman" w:hAnsi="Times New Roman"/>
          <w:lang w:eastAsia="et-EE"/>
        </w:rPr>
        <w:t xml:space="preserve"> Selleks on lõike 1 punktides 1 ja 2 toodud toetuse saaja ja riigiabi saaja kohustused, mis puudutavad rakendusüksuse teavitamist majandustegevuse mahu suurenemisest.  </w:t>
      </w:r>
    </w:p>
    <w:p w14:paraId="5D1D1DFC" w14:textId="04E4539C" w:rsidR="00055B9D" w:rsidRPr="00A245DA" w:rsidRDefault="00055B9D" w:rsidP="002F4106">
      <w:pPr>
        <w:spacing w:after="0"/>
        <w:rPr>
          <w:rFonts w:ascii="Times New Roman" w:hAnsi="Times New Roman"/>
          <w:lang w:eastAsia="et-EE"/>
        </w:rPr>
      </w:pPr>
      <w:r w:rsidRPr="00A245DA">
        <w:rPr>
          <w:rFonts w:ascii="Times New Roman" w:hAnsi="Times New Roman"/>
          <w:lang w:eastAsia="et-EE"/>
        </w:rPr>
        <w:t>Lisaks on eraldi välja toodud kohustus, mille kohaselt peab toetuse saaja iga</w:t>
      </w:r>
      <w:r w:rsidR="00864AB9" w:rsidRPr="00A245DA">
        <w:rPr>
          <w:rFonts w:ascii="Times New Roman" w:hAnsi="Times New Roman"/>
          <w:lang w:eastAsia="et-EE"/>
        </w:rPr>
        <w:t>-</w:t>
      </w:r>
      <w:r w:rsidRPr="00A245DA">
        <w:rPr>
          <w:rFonts w:ascii="Times New Roman" w:hAnsi="Times New Roman"/>
          <w:lang w:eastAsia="et-EE"/>
        </w:rPr>
        <w:t>aastaselt teavitama rakendusüksust, kui majandustegevuse maht ületab 20% teadusuuringute infrastruktuuri üldisest aastasest mahust</w:t>
      </w:r>
      <w:r w:rsidR="00864AB9" w:rsidRPr="00A245DA">
        <w:rPr>
          <w:rFonts w:ascii="Times New Roman" w:hAnsi="Times New Roman"/>
          <w:lang w:eastAsia="et-EE"/>
        </w:rPr>
        <w:t>,</w:t>
      </w:r>
      <w:r w:rsidRPr="00A245DA">
        <w:rPr>
          <w:rFonts w:ascii="Times New Roman" w:hAnsi="Times New Roman"/>
          <w:lang w:eastAsia="et-EE"/>
        </w:rPr>
        <w:t xml:space="preserve"> ning esitama rakendusüksusele selle kohta vastavad  andmed.</w:t>
      </w:r>
    </w:p>
    <w:p w14:paraId="3B754221" w14:textId="0356550E" w:rsidR="002460E2" w:rsidRPr="00A245DA" w:rsidRDefault="002460E2" w:rsidP="002460E2">
      <w:pPr>
        <w:pStyle w:val="NoSpacing"/>
        <w:jc w:val="both"/>
        <w:rPr>
          <w:rFonts w:ascii="Times New Roman" w:eastAsia="Times New Roman" w:hAnsi="Times New Roman" w:cs="Times New Roman"/>
          <w:lang w:eastAsia="et-EE"/>
        </w:rPr>
      </w:pPr>
    </w:p>
    <w:p w14:paraId="13034E07" w14:textId="433CBFDF" w:rsidR="002460E2" w:rsidRPr="00A245DA" w:rsidRDefault="002460E2" w:rsidP="002460E2">
      <w:pPr>
        <w:pStyle w:val="NoSpacing"/>
        <w:jc w:val="both"/>
        <w:rPr>
          <w:rFonts w:ascii="Times New Roman" w:eastAsia="Times New Roman" w:hAnsi="Times New Roman" w:cs="Times New Roman"/>
          <w:lang w:eastAsia="et-EE"/>
        </w:rPr>
      </w:pPr>
      <w:r w:rsidRPr="00A245DA">
        <w:rPr>
          <w:rFonts w:ascii="Times New Roman" w:eastAsia="Times New Roman" w:hAnsi="Times New Roman" w:cs="Times New Roman"/>
          <w:u w:val="single"/>
          <w:lang w:eastAsia="et-EE"/>
        </w:rPr>
        <w:t>§ 28</w:t>
      </w:r>
      <w:r w:rsidRPr="00A245DA">
        <w:rPr>
          <w:rFonts w:ascii="Times New Roman" w:eastAsia="Times New Roman" w:hAnsi="Times New Roman" w:cs="Times New Roman"/>
          <w:lang w:eastAsia="et-EE"/>
        </w:rPr>
        <w:t xml:space="preserve"> sätestab toetuse saaja ja partneri õigused. Toetudes perioodi 2014-2020 struktuuritoetuse seadusele on uue ja olulise muudatusena  lisandunud toetuse saajale õigus oma seiskohtade esitamiseks. Antud muudatus annab toetuse saajale võimaluse enne otsuse tegemist oma tegevusi ja </w:t>
      </w:r>
      <w:r w:rsidRPr="00A245DA">
        <w:rPr>
          <w:rFonts w:ascii="Times New Roman" w:eastAsia="Times New Roman" w:hAnsi="Times New Roman" w:cs="Times New Roman"/>
          <w:lang w:eastAsia="et-EE"/>
        </w:rPr>
        <w:lastRenderedPageBreak/>
        <w:t>tegevuste taustategureid selgitada ja põhjendada. Vastavalt eeltoodule on tal õigus esitada oma seisukohad enne: 1) ettekirjutuse tegemist; 2) taotluse rahuldamise otsuse kehtetuks tunnistamist või muutmist, välja arvatud juhul, kui toetuse saaja taotlus rahuldatakse täielikult; 3) finantskorrektsiooni otsuse tegemist.</w:t>
      </w:r>
    </w:p>
    <w:p w14:paraId="00D51FB0" w14:textId="77777777" w:rsidR="002460E2" w:rsidRPr="00A245DA" w:rsidRDefault="002460E2" w:rsidP="002460E2">
      <w:pPr>
        <w:pStyle w:val="NoSpacing"/>
        <w:jc w:val="both"/>
        <w:rPr>
          <w:rFonts w:ascii="Times New Roman" w:eastAsia="Times New Roman" w:hAnsi="Times New Roman" w:cs="Times New Roman"/>
          <w:bCs/>
          <w:lang w:eastAsia="et-EE"/>
        </w:rPr>
      </w:pPr>
    </w:p>
    <w:p w14:paraId="0B2D5ECF" w14:textId="77777777" w:rsidR="002460E2" w:rsidRPr="00A245DA" w:rsidRDefault="002460E2" w:rsidP="002460E2">
      <w:pPr>
        <w:pStyle w:val="NoSpacing"/>
        <w:jc w:val="both"/>
        <w:rPr>
          <w:rFonts w:ascii="Times New Roman" w:eastAsia="Times New Roman" w:hAnsi="Times New Roman" w:cs="Times New Roman"/>
          <w:lang w:eastAsia="et-EE"/>
        </w:rPr>
      </w:pPr>
      <w:r w:rsidRPr="00A245DA">
        <w:rPr>
          <w:rFonts w:ascii="Times New Roman" w:eastAsia="Times New Roman" w:hAnsi="Times New Roman" w:cs="Times New Roman"/>
          <w:bCs/>
          <w:lang w:eastAsia="et-EE"/>
        </w:rPr>
        <w:t>Toetuse saajal on õigus saada rakendusüksuselt informatsiooni ja nõuandeid, mis on seotud õigusaktides sätestatud nõuete ja toetuse saaja kohustuste täitmisega. Juhul kui toetuse saajal tekib kahtlus, kas ta pole nõuetest ja määrusega sätestatud tingimustest õigesti aru saanud, siis edaspidiste ebakõlade ja võimalikke rikkumiste vältimiseks, peab ta konsulteerima rakendusüksusega. Rakendusüksus võib vajadusel pöörduda määruse tõlgendamiseks rakendusasutuse poole.</w:t>
      </w:r>
    </w:p>
    <w:p w14:paraId="669AE3B2" w14:textId="77777777" w:rsidR="002460E2" w:rsidRPr="00A245DA" w:rsidRDefault="002460E2" w:rsidP="002460E2">
      <w:pPr>
        <w:pStyle w:val="NoSpacing"/>
        <w:jc w:val="both"/>
        <w:rPr>
          <w:rFonts w:ascii="Times New Roman" w:eastAsia="Times New Roman" w:hAnsi="Times New Roman" w:cs="Times New Roman"/>
          <w:lang w:eastAsia="et-EE"/>
        </w:rPr>
      </w:pPr>
    </w:p>
    <w:p w14:paraId="5F1E075B" w14:textId="77777777" w:rsidR="002460E2" w:rsidRPr="00A245DA" w:rsidRDefault="002460E2" w:rsidP="002460E2">
      <w:pPr>
        <w:pStyle w:val="NoSpacing"/>
        <w:jc w:val="both"/>
        <w:rPr>
          <w:rFonts w:ascii="Times New Roman" w:hAnsi="Times New Roman" w:cs="Times New Roman"/>
          <w:lang w:eastAsia="et-EE"/>
        </w:rPr>
      </w:pPr>
      <w:r w:rsidRPr="00A245DA">
        <w:rPr>
          <w:rFonts w:ascii="Times New Roman" w:hAnsi="Times New Roman" w:cs="Times New Roman"/>
          <w:u w:val="single"/>
          <w:lang w:eastAsia="et-EE"/>
        </w:rPr>
        <w:t>Eelnõu § 29</w:t>
      </w:r>
      <w:r w:rsidRPr="00A245DA">
        <w:rPr>
          <w:rFonts w:ascii="Times New Roman" w:hAnsi="Times New Roman" w:cs="Times New Roman"/>
          <w:lang w:eastAsia="et-EE"/>
        </w:rPr>
        <w:t xml:space="preserve"> sätestab rakendusüksuse kohustused lisaks struktuuritoetuse seaduse § 8 lõikes 2 loetletud ülesannetele.</w:t>
      </w:r>
    </w:p>
    <w:p w14:paraId="0AB3F54B" w14:textId="77777777" w:rsidR="002460E2" w:rsidRPr="00A245DA" w:rsidRDefault="002460E2" w:rsidP="002460E2">
      <w:pPr>
        <w:pStyle w:val="NoSpacing"/>
        <w:jc w:val="both"/>
        <w:rPr>
          <w:rFonts w:ascii="Times New Roman" w:hAnsi="Times New Roman" w:cs="Times New Roman"/>
          <w:u w:val="single"/>
          <w:lang w:eastAsia="et-EE"/>
        </w:rPr>
      </w:pPr>
    </w:p>
    <w:p w14:paraId="34D5EB0E" w14:textId="77777777" w:rsidR="002460E2" w:rsidRPr="00A245DA" w:rsidRDefault="002460E2" w:rsidP="00C66371">
      <w:pPr>
        <w:pStyle w:val="NoSpacing"/>
        <w:jc w:val="both"/>
        <w:rPr>
          <w:rFonts w:ascii="Times New Roman" w:hAnsi="Times New Roman" w:cs="Times New Roman"/>
          <w:lang w:eastAsia="et-EE"/>
        </w:rPr>
      </w:pPr>
      <w:r w:rsidRPr="00A245DA">
        <w:rPr>
          <w:rFonts w:ascii="Times New Roman" w:hAnsi="Times New Roman" w:cs="Times New Roman"/>
          <w:u w:val="single"/>
          <w:lang w:eastAsia="et-EE"/>
        </w:rPr>
        <w:t>Eelnõu § 30</w:t>
      </w:r>
      <w:r w:rsidRPr="00A245DA">
        <w:rPr>
          <w:rFonts w:ascii="Times New Roman" w:hAnsi="Times New Roman" w:cs="Times New Roman"/>
          <w:lang w:eastAsia="et-EE"/>
        </w:rPr>
        <w:t xml:space="preserve"> sätestab finantskorrektsioonide tegemise vastavalt perioodi 2014-2020 struktuuritoetuse seaduse 3. peatüki 12. jaole. Finantskorrektsiooni otsus tehakse ja toetus nõutakse tagasi vastavalt perioodi 2014-2020 struktuuritoetuse seaduse §-des 45-47 ja ühendmääruse §-des 21-23 sätestatule.</w:t>
      </w:r>
    </w:p>
    <w:p w14:paraId="0DA74364" w14:textId="77777777" w:rsidR="002460E2" w:rsidRPr="00A245DA" w:rsidRDefault="002460E2" w:rsidP="002460E2">
      <w:pPr>
        <w:pStyle w:val="NoSpacing"/>
        <w:jc w:val="both"/>
        <w:rPr>
          <w:rFonts w:ascii="Times New Roman" w:hAnsi="Times New Roman" w:cs="Times New Roman"/>
          <w:b/>
          <w:lang w:eastAsia="et-EE"/>
        </w:rPr>
      </w:pPr>
    </w:p>
    <w:p w14:paraId="6658E0DA" w14:textId="5B5610AB" w:rsidR="00D8377C" w:rsidRPr="00A245DA" w:rsidRDefault="00DB2640" w:rsidP="00D8377C">
      <w:pPr>
        <w:pStyle w:val="NoSpacing"/>
        <w:rPr>
          <w:rFonts w:ascii="Times New Roman" w:hAnsi="Times New Roman" w:cs="Times New Roman"/>
          <w:b/>
        </w:rPr>
      </w:pPr>
      <w:r w:rsidRPr="00A245DA">
        <w:rPr>
          <w:rFonts w:ascii="Times New Roman" w:hAnsi="Times New Roman" w:cs="Times New Roman"/>
          <w:b/>
        </w:rPr>
        <w:t>I</w:t>
      </w:r>
      <w:r w:rsidR="009C2C8A" w:rsidRPr="00A245DA">
        <w:rPr>
          <w:rFonts w:ascii="Times New Roman" w:hAnsi="Times New Roman" w:cs="Times New Roman"/>
          <w:b/>
        </w:rPr>
        <w:t>II</w:t>
      </w:r>
      <w:r w:rsidRPr="00A245DA">
        <w:rPr>
          <w:rFonts w:ascii="Times New Roman" w:hAnsi="Times New Roman" w:cs="Times New Roman"/>
          <w:b/>
        </w:rPr>
        <w:t xml:space="preserve"> EELNÕU VASTAVUS EUROOPA LIIDU ÕIGUSELE</w:t>
      </w:r>
    </w:p>
    <w:p w14:paraId="10816209" w14:textId="77777777" w:rsidR="007D3D11" w:rsidRPr="00A245DA" w:rsidRDefault="007D3D11" w:rsidP="00C66371">
      <w:pPr>
        <w:pStyle w:val="NoSpacing"/>
        <w:rPr>
          <w:rFonts w:ascii="Times New Roman" w:hAnsi="Times New Roman" w:cs="Times New Roman"/>
          <w:b/>
        </w:rPr>
      </w:pPr>
    </w:p>
    <w:p w14:paraId="074644F1" w14:textId="77777777" w:rsidR="007D3D11" w:rsidRPr="00A245DA" w:rsidRDefault="007D3D11" w:rsidP="0005104D">
      <w:pPr>
        <w:spacing w:before="0" w:after="0"/>
        <w:rPr>
          <w:rFonts w:ascii="Times New Roman" w:hAnsi="Times New Roman"/>
          <w:lang w:eastAsia="ar-SA"/>
        </w:rPr>
      </w:pPr>
      <w:r w:rsidRPr="00A245DA">
        <w:rPr>
          <w:rFonts w:ascii="Times New Roman" w:hAnsi="Times New Roman"/>
          <w:lang w:eastAsia="ar-SA"/>
        </w:rPr>
        <w:t xml:space="preserve">Käesoleva eelnõu aluseks on struktuuritoetuse seadus ja selle alusel kehtestatud Vabariigi Valitsuse määrused. </w:t>
      </w:r>
    </w:p>
    <w:p w14:paraId="75C7A233" w14:textId="508F6361" w:rsidR="007D3D11" w:rsidRPr="00A245DA" w:rsidRDefault="007D3D11" w:rsidP="0005104D">
      <w:pPr>
        <w:spacing w:before="0" w:after="0"/>
        <w:rPr>
          <w:rFonts w:ascii="Times New Roman" w:hAnsi="Times New Roman"/>
          <w:lang w:eastAsia="ar-SA"/>
        </w:rPr>
      </w:pPr>
      <w:r w:rsidRPr="00A245DA">
        <w:rPr>
          <w:rFonts w:ascii="Times New Roman" w:hAnsi="Times New Roman"/>
          <w:lang w:eastAsia="ar-SA"/>
        </w:rPr>
        <w:t>Käesolev eelnõu on kooskõlas ka struktuuritoetuse seaduse aluseks olevate järgmiste Euroopa Liidu määrustega:</w:t>
      </w:r>
    </w:p>
    <w:p w14:paraId="06A66F99" w14:textId="77777777" w:rsidR="007D3D11" w:rsidRPr="00A245DA" w:rsidRDefault="007D3D11" w:rsidP="0005104D">
      <w:pPr>
        <w:numPr>
          <w:ilvl w:val="0"/>
          <w:numId w:val="18"/>
        </w:numPr>
        <w:spacing w:before="0" w:after="0"/>
        <w:contextualSpacing/>
        <w:rPr>
          <w:rFonts w:ascii="Times New Roman" w:hAnsi="Times New Roman"/>
          <w:lang w:eastAsia="ar-SA"/>
        </w:rPr>
      </w:pPr>
      <w:r w:rsidRPr="00A245DA">
        <w:rPr>
          <w:rFonts w:ascii="Times New Roman" w:hAnsi="Times New Roman"/>
          <w:lang w:eastAsia="ar-SA"/>
        </w:rPr>
        <w:t xml:space="preserve">Euroopa Parlamendi ja nõukogu määrus (EL) nr 1303/2013, millega kehtestatakse ühissätted ühisesse strateegilisse raamistikku kuuluvate fondide – Euroopa Regionaalarengu Fondi, Euroopa Sotsiaalfondi, Ühtekuuluvusfondi, Maaelu Arengu Euroopa Põllumajandusfondi ja Euroopa Merendus- ja Kalandusfondi – kohta, nähakse ette üldsätted Euroopa Regionaalarengu Fondi, Euroopa Sotsiaalfondi,  Ühtekuuluvusfondi ja Euroopa Merendus- ja Kalandusfondi kohta ning tunnistatakse kehtetuks nõukogu määrus (EÜ) nr 1083/2006; </w:t>
      </w:r>
    </w:p>
    <w:p w14:paraId="466FA14F" w14:textId="07AD8946" w:rsidR="00206FFC" w:rsidRPr="00A245DA" w:rsidRDefault="007D3D11" w:rsidP="0005104D">
      <w:pPr>
        <w:numPr>
          <w:ilvl w:val="0"/>
          <w:numId w:val="18"/>
        </w:numPr>
        <w:spacing w:before="0" w:after="0"/>
        <w:contextualSpacing/>
        <w:rPr>
          <w:rFonts w:ascii="Times New Roman" w:hAnsi="Times New Roman"/>
          <w:lang w:eastAsia="ar-SA"/>
        </w:rPr>
      </w:pPr>
      <w:r w:rsidRPr="00A245DA">
        <w:rPr>
          <w:rFonts w:ascii="Times New Roman" w:hAnsi="Times New Roman"/>
          <w:lang w:eastAsia="ar-SA"/>
        </w:rPr>
        <w:t>Euroopa Parlamendi ja nõukogu määrus (EL) nr 1301/2013, 17. detsember 2013, mis käsitleb Euroopa Regionaalarengu Fondi ja majanduskasvu ja tööhõivesse investeerimise eesmärgiga seonduvaid erisätteid ning millega tunnistatakse kehtetuks määrus (EÜ) nr 1080/2006;</w:t>
      </w:r>
    </w:p>
    <w:p w14:paraId="6168956B" w14:textId="158F6A2C" w:rsidR="005372D3" w:rsidRPr="00A245DA" w:rsidRDefault="007D3D11" w:rsidP="005372D3">
      <w:pPr>
        <w:numPr>
          <w:ilvl w:val="0"/>
          <w:numId w:val="18"/>
        </w:numPr>
        <w:spacing w:before="0" w:after="0"/>
        <w:contextualSpacing/>
        <w:rPr>
          <w:rFonts w:ascii="Times New Roman" w:hAnsi="Times New Roman"/>
          <w:lang w:eastAsia="ar-SA"/>
        </w:rPr>
      </w:pPr>
      <w:r w:rsidRPr="00A245DA">
        <w:rPr>
          <w:rFonts w:ascii="Times New Roman" w:hAnsi="Times New Roman"/>
          <w:lang w:eastAsia="ar-SA"/>
        </w:rPr>
        <w:t>Euroopa Parlamendi ja nõukogu määrus (EL) 1300/2013, mis käsitleb Ühtekuuluvusfondi ja millega tunnistatakse kehtetuks nõukogu määrus (EÜ) nr 1084/2006.</w:t>
      </w:r>
    </w:p>
    <w:p w14:paraId="1B27C518" w14:textId="77777777" w:rsidR="005372D3" w:rsidRPr="00A245DA" w:rsidRDefault="005372D3" w:rsidP="005372D3">
      <w:pPr>
        <w:pStyle w:val="ListParagraph"/>
        <w:numPr>
          <w:ilvl w:val="0"/>
          <w:numId w:val="27"/>
        </w:numPr>
        <w:spacing w:after="0" w:line="240" w:lineRule="auto"/>
        <w:jc w:val="both"/>
        <w:rPr>
          <w:rFonts w:ascii="Times New Roman" w:hAnsi="Times New Roman" w:cs="Times New Roman"/>
          <w:snapToGrid w:val="0"/>
        </w:rPr>
      </w:pPr>
      <w:r w:rsidRPr="00A245DA">
        <w:rPr>
          <w:rFonts w:ascii="Times New Roman" w:hAnsi="Times New Roman" w:cs="Times New Roman"/>
          <w:lang w:eastAsia="et-EE"/>
        </w:rPr>
        <w:t>Euroopa Komisjoni määruse (EL) nr</w:t>
      </w:r>
      <w:r w:rsidRPr="00A245DA">
        <w:rPr>
          <w:rFonts w:ascii="Times New Roman" w:hAnsi="Times New Roman" w:cs="Times New Roman"/>
        </w:rPr>
        <w:t> </w:t>
      </w:r>
      <w:r w:rsidRPr="00A245DA">
        <w:rPr>
          <w:rFonts w:ascii="Times New Roman" w:hAnsi="Times New Roman" w:cs="Times New Roman"/>
          <w:lang w:eastAsia="et-EE"/>
        </w:rPr>
        <w:t>651/2014 ELi aluslepingu artiklite 107 ja 108 kohaldamise kohta, millega teatavat liiki abi tunnistatakse siseturuga kokkusobivaks.</w:t>
      </w:r>
    </w:p>
    <w:p w14:paraId="6658E0DC" w14:textId="77777777" w:rsidR="00FD6F20" w:rsidRPr="00A245DA" w:rsidRDefault="00FD6F20" w:rsidP="00D8377C">
      <w:pPr>
        <w:pStyle w:val="NoSpacing"/>
        <w:rPr>
          <w:rFonts w:ascii="Times New Roman" w:hAnsi="Times New Roman" w:cs="Times New Roman"/>
        </w:rPr>
      </w:pPr>
    </w:p>
    <w:p w14:paraId="6658E0DD" w14:textId="77777777" w:rsidR="00D8377C" w:rsidRPr="00A245DA" w:rsidRDefault="009C2C8A" w:rsidP="00D8377C">
      <w:pPr>
        <w:pStyle w:val="NoSpacing"/>
        <w:rPr>
          <w:rFonts w:ascii="Times New Roman" w:hAnsi="Times New Roman" w:cs="Times New Roman"/>
          <w:b/>
        </w:rPr>
      </w:pPr>
      <w:r w:rsidRPr="00A245DA">
        <w:rPr>
          <w:rFonts w:ascii="Times New Roman" w:hAnsi="Times New Roman" w:cs="Times New Roman"/>
          <w:b/>
        </w:rPr>
        <w:t>I</w:t>
      </w:r>
      <w:r w:rsidR="00DB2640" w:rsidRPr="00A245DA">
        <w:rPr>
          <w:rFonts w:ascii="Times New Roman" w:hAnsi="Times New Roman" w:cs="Times New Roman"/>
          <w:b/>
        </w:rPr>
        <w:t xml:space="preserve">V </w:t>
      </w:r>
      <w:r w:rsidRPr="00A245DA">
        <w:rPr>
          <w:rFonts w:ascii="Times New Roman" w:hAnsi="Times New Roman" w:cs="Times New Roman"/>
          <w:b/>
        </w:rPr>
        <w:t xml:space="preserve">MÄÄRUSE </w:t>
      </w:r>
      <w:r w:rsidR="000223A7" w:rsidRPr="00A245DA">
        <w:rPr>
          <w:rFonts w:ascii="Times New Roman" w:hAnsi="Times New Roman" w:cs="Times New Roman"/>
          <w:b/>
        </w:rPr>
        <w:t>M</w:t>
      </w:r>
      <w:r w:rsidR="00DB2640" w:rsidRPr="00A245DA">
        <w:rPr>
          <w:rFonts w:ascii="Times New Roman" w:hAnsi="Times New Roman" w:cs="Times New Roman"/>
          <w:b/>
        </w:rPr>
        <w:t>ÕJUD</w:t>
      </w:r>
    </w:p>
    <w:p w14:paraId="5A8D9509" w14:textId="355B6B0C" w:rsidR="00886B22" w:rsidRPr="00A245DA" w:rsidRDefault="0005104D" w:rsidP="00886B22">
      <w:pPr>
        <w:rPr>
          <w:rFonts w:ascii="Times New Roman" w:hAnsi="Times New Roman"/>
          <w:u w:val="single"/>
        </w:rPr>
      </w:pPr>
      <w:r w:rsidRPr="00A245DA">
        <w:rPr>
          <w:rFonts w:ascii="Times New Roman" w:hAnsi="Times New Roman"/>
          <w:u w:val="single"/>
        </w:rPr>
        <w:t>Tegevuste</w:t>
      </w:r>
      <w:r w:rsidR="00886B22" w:rsidRPr="00A245DA">
        <w:rPr>
          <w:rFonts w:ascii="Times New Roman" w:hAnsi="Times New Roman"/>
          <w:u w:val="single"/>
        </w:rPr>
        <w:t xml:space="preserve"> eeldatav mõju läbivatele teemadele</w:t>
      </w:r>
      <w:r w:rsidR="00886B22" w:rsidRPr="00A245DA">
        <w:rPr>
          <w:rFonts w:ascii="Times New Roman" w:hAnsi="Times New Roman"/>
          <w:i/>
        </w:rPr>
        <w:t xml:space="preserve"> </w:t>
      </w:r>
    </w:p>
    <w:p w14:paraId="049B5610" w14:textId="19BFCF15" w:rsidR="00886B22" w:rsidRPr="00A245DA" w:rsidRDefault="00886B22" w:rsidP="00886B22">
      <w:pPr>
        <w:rPr>
          <w:rFonts w:ascii="Times New Roman" w:hAnsi="Times New Roman"/>
          <w:i/>
        </w:rPr>
      </w:pPr>
      <w:r w:rsidRPr="00A245DA">
        <w:rPr>
          <w:rFonts w:ascii="Times New Roman" w:hAnsi="Times New Roman"/>
        </w:rPr>
        <w:t xml:space="preserve">ASTRA kaudu ei anta hindamisel eelistusi projektidele, mille puhul esineb puutumus läbivate teemadega. ASTRA ja selle raames rahastatavate projektide eeldatav mõju läbivatele teemadele on vähemalt neutraalne. Tegelik mõju sõltub paljuski rahastatavatest projektidest, alljärgnevalt on kirjeldatud võimalikke kokkupuutekohti. </w:t>
      </w:r>
    </w:p>
    <w:p w14:paraId="5641447B" w14:textId="77777777" w:rsidR="00886B22" w:rsidRPr="00A245DA" w:rsidRDefault="00886B22" w:rsidP="00886B22">
      <w:pPr>
        <w:tabs>
          <w:tab w:val="left" w:pos="3370"/>
        </w:tabs>
        <w:spacing w:after="0"/>
        <w:rPr>
          <w:rFonts w:ascii="Times New Roman" w:hAnsi="Times New Roman"/>
          <w:i/>
        </w:rPr>
      </w:pPr>
      <w:r w:rsidRPr="00A245DA">
        <w:rPr>
          <w:rFonts w:ascii="Times New Roman" w:hAnsi="Times New Roman"/>
          <w:i/>
        </w:rPr>
        <w:t>Võrdsed võimalused</w:t>
      </w:r>
      <w:r w:rsidRPr="00A245DA">
        <w:rPr>
          <w:rFonts w:ascii="Times New Roman" w:hAnsi="Times New Roman"/>
          <w:i/>
        </w:rPr>
        <w:tab/>
      </w:r>
    </w:p>
    <w:p w14:paraId="3E623E45" w14:textId="2B4BC41A" w:rsidR="003A5DAE" w:rsidRPr="00A245DA" w:rsidRDefault="00886B22" w:rsidP="00886B22">
      <w:pPr>
        <w:spacing w:after="0"/>
        <w:rPr>
          <w:rFonts w:ascii="Times New Roman" w:hAnsi="Times New Roman"/>
        </w:rPr>
      </w:pPr>
      <w:r w:rsidRPr="00A245DA">
        <w:rPr>
          <w:rFonts w:ascii="Times New Roman" w:hAnsi="Times New Roman"/>
        </w:rPr>
        <w:t xml:space="preserve">Kuna kõigile ehitusprojektidele laienevad seadusest tulenevad kohustused ligipääsu võimaldamiseks liikumispuudega inimestele, siis on ka rajatavate teadus- ja õppehoonete puhul tagatud juurdepääs puudega inimestele. ASTRA raames toetatavate teadust ja kõrgharidust puudutavate tegevuste puhul ei ole piiratud juurdepääsu erinevatele sotsiaalsetele rühmadele tulenevalt soost, vanusest või rahvusest (nt koolituste, järelkasvu toetamise, karjäärimudeli ja õpioskuste arendamise puhul). </w:t>
      </w:r>
      <w:r w:rsidR="00F83F80" w:rsidRPr="00A245DA">
        <w:rPr>
          <w:rFonts w:ascii="Times New Roman" w:hAnsi="Times New Roman"/>
        </w:rPr>
        <w:t>ASTRAst  toetatavate tegevuste puhul on võimalik mõjutada naiste ja meeste võrdsemaid võimalusi hariduses ja teaduses.</w:t>
      </w:r>
    </w:p>
    <w:p w14:paraId="3FBFE56B" w14:textId="77777777" w:rsidR="00886B22" w:rsidRPr="00A245DA" w:rsidRDefault="00886B22" w:rsidP="00886B22">
      <w:pPr>
        <w:spacing w:after="0"/>
        <w:rPr>
          <w:rFonts w:ascii="Times New Roman" w:hAnsi="Times New Roman"/>
          <w:i/>
        </w:rPr>
      </w:pPr>
      <w:r w:rsidRPr="00A245DA">
        <w:rPr>
          <w:rFonts w:ascii="Times New Roman" w:hAnsi="Times New Roman"/>
          <w:i/>
        </w:rPr>
        <w:t>Infoühiskond</w:t>
      </w:r>
    </w:p>
    <w:p w14:paraId="3FD11D27" w14:textId="77777777" w:rsidR="00886B22" w:rsidRPr="00A245DA" w:rsidRDefault="00886B22" w:rsidP="00886B22">
      <w:pPr>
        <w:spacing w:after="0"/>
        <w:rPr>
          <w:rFonts w:ascii="Times New Roman" w:hAnsi="Times New Roman"/>
        </w:rPr>
      </w:pPr>
      <w:r w:rsidRPr="00A245DA">
        <w:rPr>
          <w:rFonts w:ascii="Times New Roman" w:hAnsi="Times New Roman"/>
        </w:rPr>
        <w:lastRenderedPageBreak/>
        <w:t>Üks toetatavaid tegevusi on teadus- ja arendusasutuste, kõrgkoolide ja ettevõtete vahelise koostöö tugevdamine, sh sisendi ja teenuste pakkumise kaudu ettevõtetele (nt rakendusuuringute läbiviimise võimekuse kasvatamine, teadustaristu ühiskasutuse võimaldamine jm). Teenuste osutamise korraldamisel on olemas puutumus IKT lahenduste kasutusega. Lisaks on ASTRA üheks fookuseks nutika spetsialiseerumise kasvuvaldkondade arenguvajadustega arvestamine. Nutika spetsialiseerumise kasvuvaldkondade hulka kuulub IKT (horisontaalselt läbi teiste sektorite), aidates seega kaasa IKT-sektori lisandväärtuse ja uuenduslikkuse kasvule.</w:t>
      </w:r>
    </w:p>
    <w:p w14:paraId="54582E7E" w14:textId="77777777" w:rsidR="00886B22" w:rsidRPr="00A245DA" w:rsidRDefault="00886B22" w:rsidP="00886B22">
      <w:pPr>
        <w:spacing w:after="0"/>
        <w:rPr>
          <w:rFonts w:ascii="Times New Roman" w:hAnsi="Times New Roman"/>
        </w:rPr>
      </w:pPr>
      <w:r w:rsidRPr="00A245DA">
        <w:rPr>
          <w:rFonts w:ascii="Times New Roman" w:hAnsi="Times New Roman"/>
          <w:i/>
        </w:rPr>
        <w:t>Regionaalareng</w:t>
      </w:r>
    </w:p>
    <w:p w14:paraId="55FC82FF" w14:textId="49FD4D93" w:rsidR="00886B22" w:rsidRPr="00A245DA" w:rsidRDefault="00886B22" w:rsidP="00886B22">
      <w:pPr>
        <w:spacing w:after="0"/>
        <w:rPr>
          <w:rFonts w:ascii="Times New Roman" w:hAnsi="Times New Roman"/>
        </w:rPr>
      </w:pPr>
      <w:r w:rsidRPr="00A245DA">
        <w:rPr>
          <w:rFonts w:ascii="Times New Roman" w:hAnsi="Times New Roman"/>
        </w:rPr>
        <w:t xml:space="preserve">Teadus- ja arendusasutused ning kõrgkoolid paiknevad peamiselt Tallinnas ja Tartus. Selle tõttu võib esile tuua kokkupuutepunkti suuremate linnapiirkondade arengueelduste parema ärakasutamisega, aidates kaasa linnapiirkondade omase potentsiaali ärakasutamisele kõrghariduse ja teadus- ja arendustegevuse ning sellega seotud teadmismahukama majanduse konkurentsivõime kasvatamisel. </w:t>
      </w:r>
      <w:r w:rsidR="004B1B03" w:rsidRPr="00A245DA">
        <w:rPr>
          <w:rFonts w:ascii="Times New Roman" w:hAnsi="Times New Roman"/>
        </w:rPr>
        <w:t>Ülikoolide kolledžid, üksikud rakenduskõrgkoolid ning teadus- ja arendusasutused asuvad ka väljapool Tallinna ja Tartut, mis või</w:t>
      </w:r>
      <w:r w:rsidR="00BA3B81" w:rsidRPr="00A245DA">
        <w:rPr>
          <w:rFonts w:ascii="Times New Roman" w:hAnsi="Times New Roman"/>
        </w:rPr>
        <w:t>b</w:t>
      </w:r>
      <w:r w:rsidR="004B1B03" w:rsidRPr="00A245DA">
        <w:rPr>
          <w:rFonts w:ascii="Times New Roman" w:hAnsi="Times New Roman"/>
        </w:rPr>
        <w:t xml:space="preserve"> regionaalarengule mõjuda tasakaalustavalt</w:t>
      </w:r>
      <w:r w:rsidR="00BA3B81" w:rsidRPr="00A245DA">
        <w:rPr>
          <w:rFonts w:ascii="Times New Roman" w:hAnsi="Times New Roman"/>
        </w:rPr>
        <w:t>, soodustades eri piirkondade ühtlasemat ja kestlikku arengut.</w:t>
      </w:r>
    </w:p>
    <w:p w14:paraId="533A47B4" w14:textId="77777777" w:rsidR="00886B22" w:rsidRPr="00A245DA" w:rsidRDefault="00886B22" w:rsidP="00886B22">
      <w:pPr>
        <w:spacing w:after="0"/>
        <w:rPr>
          <w:rFonts w:ascii="Times New Roman" w:hAnsi="Times New Roman"/>
          <w:i/>
        </w:rPr>
      </w:pPr>
      <w:r w:rsidRPr="00A245DA">
        <w:rPr>
          <w:rFonts w:ascii="Times New Roman" w:hAnsi="Times New Roman"/>
          <w:i/>
        </w:rPr>
        <w:t>Riigivalitsemine</w:t>
      </w:r>
    </w:p>
    <w:p w14:paraId="7DDDA0C6" w14:textId="703F22AA" w:rsidR="00886B22" w:rsidRPr="00A245DA" w:rsidRDefault="00886B22" w:rsidP="00886B22">
      <w:pPr>
        <w:spacing w:after="0"/>
        <w:rPr>
          <w:rFonts w:ascii="Times New Roman" w:hAnsi="Times New Roman"/>
          <w:strike/>
        </w:rPr>
      </w:pPr>
      <w:r w:rsidRPr="00A245DA">
        <w:rPr>
          <w:rFonts w:ascii="Times New Roman" w:hAnsi="Times New Roman"/>
        </w:rPr>
        <w:t>ASTRA panustab eesmärki tagada kvaliteetsed ja hästi ettevalmistatud eelnõud. Toetuse andmise tingimuste väljatöötamisel on tuginetud valdkondlikele strateegiatele</w:t>
      </w:r>
      <w:r w:rsidR="00E54153" w:rsidRPr="00A245DA">
        <w:rPr>
          <w:rFonts w:ascii="Times New Roman" w:hAnsi="Times New Roman"/>
        </w:rPr>
        <w:t xml:space="preserve"> ja riiklikele prioriteetidele. </w:t>
      </w:r>
      <w:r w:rsidRPr="00A245DA">
        <w:rPr>
          <w:rFonts w:ascii="Times New Roman" w:hAnsi="Times New Roman"/>
        </w:rPr>
        <w:t xml:space="preserve">Meetme väljatöötamisse on kaasatud koostööpartnerid (teadus- ja arendusasutused, kõrgkoolid, Rektorite Nõukogu, Rakenduskõrgkoolide Rektorite Nõukogu, SA Archimedes, SA Eesti Teadusagentuur). Kaasamine tagab huvigruppide seisukohti arvestava ning läbimõeldud eelnõu väljatöötamise. </w:t>
      </w:r>
    </w:p>
    <w:p w14:paraId="0F26855A" w14:textId="77777777" w:rsidR="0005104D" w:rsidRPr="00A245DA" w:rsidRDefault="0005104D" w:rsidP="00D8377C">
      <w:pPr>
        <w:pStyle w:val="NoSpacing"/>
        <w:rPr>
          <w:rFonts w:ascii="Times New Roman" w:hAnsi="Times New Roman" w:cs="Times New Roman"/>
          <w:b/>
        </w:rPr>
      </w:pPr>
    </w:p>
    <w:p w14:paraId="6658E108" w14:textId="234936CA" w:rsidR="00DB2640" w:rsidRPr="00A245DA" w:rsidRDefault="00DB2640" w:rsidP="00D8377C">
      <w:pPr>
        <w:pStyle w:val="NoSpacing"/>
        <w:rPr>
          <w:rFonts w:ascii="Times New Roman" w:hAnsi="Times New Roman" w:cs="Times New Roman"/>
          <w:b/>
        </w:rPr>
      </w:pPr>
      <w:r w:rsidRPr="00A245DA">
        <w:rPr>
          <w:rFonts w:ascii="Times New Roman" w:hAnsi="Times New Roman" w:cs="Times New Roman"/>
          <w:b/>
        </w:rPr>
        <w:t xml:space="preserve">V </w:t>
      </w:r>
      <w:r w:rsidR="001477FA" w:rsidRPr="00A245DA">
        <w:rPr>
          <w:rFonts w:ascii="Times New Roman" w:hAnsi="Times New Roman" w:cs="Times New Roman"/>
          <w:b/>
        </w:rPr>
        <w:t xml:space="preserve">MÄÄRUSE </w:t>
      </w:r>
      <w:r w:rsidRPr="00A245DA">
        <w:rPr>
          <w:rFonts w:ascii="Times New Roman" w:hAnsi="Times New Roman" w:cs="Times New Roman"/>
          <w:b/>
        </w:rPr>
        <w:t>JÕUSTUMINE</w:t>
      </w:r>
    </w:p>
    <w:p w14:paraId="6658E109" w14:textId="2E2564F7" w:rsidR="00EE385F" w:rsidRPr="00A245DA" w:rsidRDefault="009C2C8A" w:rsidP="00EE385F">
      <w:pPr>
        <w:pStyle w:val="NoSpacing"/>
        <w:rPr>
          <w:rFonts w:ascii="Times New Roman" w:hAnsi="Times New Roman" w:cs="Times New Roman"/>
        </w:rPr>
      </w:pPr>
      <w:r w:rsidRPr="00A245DA">
        <w:rPr>
          <w:rFonts w:ascii="Times New Roman" w:hAnsi="Times New Roman" w:cs="Times New Roman"/>
        </w:rPr>
        <w:t>Määrus</w:t>
      </w:r>
      <w:r w:rsidR="00EE385F" w:rsidRPr="00A245DA">
        <w:rPr>
          <w:rFonts w:ascii="Times New Roman" w:hAnsi="Times New Roman" w:cs="Times New Roman"/>
        </w:rPr>
        <w:t xml:space="preserve"> on kavandatud jõustuma </w:t>
      </w:r>
      <w:r w:rsidR="002E2F38" w:rsidRPr="00A245DA">
        <w:rPr>
          <w:rFonts w:ascii="Times New Roman" w:hAnsi="Times New Roman" w:cs="Times New Roman"/>
        </w:rPr>
        <w:t>üldises korras.</w:t>
      </w:r>
    </w:p>
    <w:p w14:paraId="1CE74161" w14:textId="77777777" w:rsidR="004B1B03" w:rsidRPr="00A245DA" w:rsidRDefault="004B1B03" w:rsidP="00EE385F">
      <w:pPr>
        <w:pStyle w:val="NoSpacing"/>
        <w:rPr>
          <w:rFonts w:ascii="Times New Roman" w:hAnsi="Times New Roman" w:cs="Times New Roman"/>
        </w:rPr>
      </w:pPr>
    </w:p>
    <w:p w14:paraId="6658E10C" w14:textId="2016BC79" w:rsidR="00D8377C" w:rsidRPr="00A245DA" w:rsidRDefault="00D074ED" w:rsidP="00D8377C">
      <w:pPr>
        <w:pStyle w:val="NoSpacing"/>
        <w:rPr>
          <w:rFonts w:ascii="Times New Roman" w:hAnsi="Times New Roman" w:cs="Times New Roman"/>
          <w:b/>
        </w:rPr>
      </w:pPr>
      <w:r w:rsidRPr="00A245DA">
        <w:rPr>
          <w:rFonts w:ascii="Times New Roman" w:hAnsi="Times New Roman" w:cs="Times New Roman"/>
          <w:b/>
        </w:rPr>
        <w:t>VI</w:t>
      </w:r>
      <w:r w:rsidR="00DB2640" w:rsidRPr="00A245DA">
        <w:rPr>
          <w:rFonts w:ascii="Times New Roman" w:hAnsi="Times New Roman" w:cs="Times New Roman"/>
          <w:b/>
        </w:rPr>
        <w:t xml:space="preserve"> EELNÕU KOOSKÕLASTAMINE</w:t>
      </w:r>
      <w:r w:rsidR="00D8377C" w:rsidRPr="00A245DA">
        <w:rPr>
          <w:rFonts w:ascii="Times New Roman" w:hAnsi="Times New Roman" w:cs="Times New Roman"/>
          <w:b/>
        </w:rPr>
        <w:t xml:space="preserve"> </w:t>
      </w:r>
    </w:p>
    <w:p w14:paraId="6658E10D" w14:textId="5F8FAA60" w:rsidR="006004BF" w:rsidRPr="00A245DA" w:rsidRDefault="00FD6F20" w:rsidP="00777EA4">
      <w:pPr>
        <w:pStyle w:val="NoSpacing"/>
        <w:jc w:val="both"/>
        <w:rPr>
          <w:rFonts w:ascii="Times New Roman" w:hAnsi="Times New Roman" w:cs="Times New Roman"/>
        </w:rPr>
      </w:pPr>
      <w:r w:rsidRPr="00A245DA">
        <w:rPr>
          <w:rFonts w:ascii="Times New Roman" w:hAnsi="Times New Roman" w:cs="Times New Roman"/>
        </w:rPr>
        <w:t>Eelnõu esita</w:t>
      </w:r>
      <w:r w:rsidR="00491626" w:rsidRPr="00A245DA">
        <w:rPr>
          <w:rFonts w:ascii="Times New Roman" w:hAnsi="Times New Roman" w:cs="Times New Roman"/>
        </w:rPr>
        <w:t>ti</w:t>
      </w:r>
      <w:r w:rsidRPr="00A245DA">
        <w:rPr>
          <w:rFonts w:ascii="Times New Roman" w:hAnsi="Times New Roman" w:cs="Times New Roman"/>
        </w:rPr>
        <w:t xml:space="preserve"> kooskõlastamiseks </w:t>
      </w:r>
      <w:r w:rsidR="009C2C8A" w:rsidRPr="00A245DA">
        <w:rPr>
          <w:rFonts w:ascii="Times New Roman" w:hAnsi="Times New Roman" w:cs="Times New Roman"/>
        </w:rPr>
        <w:t>Rahandusministeeriumile</w:t>
      </w:r>
      <w:r w:rsidR="00142C67" w:rsidRPr="00A245DA">
        <w:rPr>
          <w:rFonts w:ascii="Times New Roman" w:hAnsi="Times New Roman" w:cs="Times New Roman"/>
        </w:rPr>
        <w:t xml:space="preserve">, Majandus- ja Kommunikatsiooniministeeriumile, </w:t>
      </w:r>
      <w:r w:rsidR="009C2F5A" w:rsidRPr="00A245DA">
        <w:rPr>
          <w:rFonts w:ascii="Times New Roman" w:hAnsi="Times New Roman" w:cs="Times New Roman"/>
        </w:rPr>
        <w:t>Siseministeeriumile, Sotsiaalministeeriumile</w:t>
      </w:r>
      <w:r w:rsidR="007F2856" w:rsidRPr="00A245DA">
        <w:rPr>
          <w:rFonts w:ascii="Times New Roman" w:hAnsi="Times New Roman" w:cs="Times New Roman"/>
        </w:rPr>
        <w:t xml:space="preserve"> ja</w:t>
      </w:r>
      <w:r w:rsidR="009C2C8A" w:rsidRPr="00A245DA">
        <w:rPr>
          <w:rFonts w:ascii="Times New Roman" w:hAnsi="Times New Roman" w:cs="Times New Roman"/>
        </w:rPr>
        <w:t xml:space="preserve"> </w:t>
      </w:r>
      <w:r w:rsidR="009C2F5A" w:rsidRPr="00A245DA">
        <w:rPr>
          <w:rFonts w:ascii="Times New Roman" w:hAnsi="Times New Roman" w:cs="Times New Roman"/>
        </w:rPr>
        <w:t xml:space="preserve">Riigikantseleile </w:t>
      </w:r>
      <w:r w:rsidRPr="00A245DA">
        <w:rPr>
          <w:rFonts w:ascii="Times New Roman" w:hAnsi="Times New Roman" w:cs="Times New Roman"/>
        </w:rPr>
        <w:t xml:space="preserve">eelnõude infosüsteemi (EIS) kaudu ja arvamuse avaldamiseks </w:t>
      </w:r>
      <w:r w:rsidR="004B1B03" w:rsidRPr="00A245DA">
        <w:rPr>
          <w:rFonts w:ascii="Times New Roman" w:hAnsi="Times New Roman" w:cs="Times New Roman"/>
        </w:rPr>
        <w:t>eelnõu sihtgruppi kuuluvatele asutustele,</w:t>
      </w:r>
      <w:r w:rsidR="007F2856" w:rsidRPr="00A245DA">
        <w:rPr>
          <w:rFonts w:ascii="Times New Roman" w:hAnsi="Times New Roman" w:cs="Times New Roman"/>
        </w:rPr>
        <w:t xml:space="preserve"> SA-le Archimedes, </w:t>
      </w:r>
      <w:r w:rsidR="00142C67" w:rsidRPr="00A245DA">
        <w:rPr>
          <w:rFonts w:ascii="Times New Roman" w:hAnsi="Times New Roman" w:cs="Times New Roman"/>
        </w:rPr>
        <w:t>Rektorite Nõukogule, Rakenduskõrgkoolide Rektorite Nõukogule ja SA-le Eesti Teadusagentuur</w:t>
      </w:r>
      <w:r w:rsidR="009C2C8A" w:rsidRPr="00A245DA">
        <w:rPr>
          <w:rFonts w:ascii="Times New Roman" w:hAnsi="Times New Roman" w:cs="Times New Roman"/>
        </w:rPr>
        <w:t>.</w:t>
      </w:r>
      <w:r w:rsidR="004B1B03" w:rsidRPr="00A245DA">
        <w:rPr>
          <w:rFonts w:ascii="Times New Roman" w:hAnsi="Times New Roman" w:cs="Times New Roman"/>
        </w:rPr>
        <w:t xml:space="preserve"> Eelnõu</w:t>
      </w:r>
      <w:r w:rsidR="0039386A" w:rsidRPr="00A245DA">
        <w:rPr>
          <w:rFonts w:ascii="Times New Roman" w:hAnsi="Times New Roman" w:cs="Times New Roman"/>
        </w:rPr>
        <w:t xml:space="preserve"> on heaks kiidetud</w:t>
      </w:r>
      <w:r w:rsidR="00D13289" w:rsidRPr="00A245DA">
        <w:rPr>
          <w:rFonts w:ascii="Times New Roman" w:hAnsi="Times New Roman" w:cs="Times New Roman"/>
        </w:rPr>
        <w:t xml:space="preserve"> </w:t>
      </w:r>
      <w:r w:rsidR="00F106B2" w:rsidRPr="00A245DA">
        <w:rPr>
          <w:rFonts w:ascii="Times New Roman" w:hAnsi="Times New Roman" w:cs="Times New Roman"/>
        </w:rPr>
        <w:t>struktuurivahendite majanduse</w:t>
      </w:r>
      <w:r w:rsidR="004B1B03" w:rsidRPr="00A245DA">
        <w:rPr>
          <w:rFonts w:ascii="Times New Roman" w:hAnsi="Times New Roman" w:cs="Times New Roman"/>
        </w:rPr>
        <w:t xml:space="preserve"> valdkondliku komisjoni</w:t>
      </w:r>
      <w:r w:rsidR="0039386A" w:rsidRPr="00A245DA">
        <w:rPr>
          <w:rFonts w:ascii="Times New Roman" w:hAnsi="Times New Roman" w:cs="Times New Roman"/>
        </w:rPr>
        <w:t xml:space="preserve"> 26. veebruari 2015. a koosolekul</w:t>
      </w:r>
      <w:r w:rsidR="004B1B03" w:rsidRPr="00A245DA">
        <w:rPr>
          <w:rFonts w:ascii="Times New Roman" w:hAnsi="Times New Roman" w:cs="Times New Roman"/>
        </w:rPr>
        <w:t>.</w:t>
      </w:r>
      <w:r w:rsidR="00491626" w:rsidRPr="00A245DA">
        <w:rPr>
          <w:rFonts w:ascii="Times New Roman" w:hAnsi="Times New Roman" w:cs="Times New Roman"/>
        </w:rPr>
        <w:t xml:space="preserve"> Eelnõu kooskõlastasid märkustega Rahandusministeerium, Sotsiaalministeerium ja Riigikantselei. Majandus- ja Kommunikatsiooniministeerium ja Siseministeerium kooskõlastasid eelnõu vaikimisi. Arvamusi esitasid eelnõu kohta SA Archimedes, Rektorite Nõukogu, Rakenduskõrgkoolide Nõukogu ning eelnõu sihtgruppi kuuluvatest asutustest</w:t>
      </w:r>
      <w:r w:rsidR="00E73AAB" w:rsidRPr="00A245DA">
        <w:rPr>
          <w:rFonts w:ascii="Times New Roman" w:hAnsi="Times New Roman" w:cs="Times New Roman"/>
        </w:rPr>
        <w:t xml:space="preserve"> Eesti Maaülikool, </w:t>
      </w:r>
      <w:r w:rsidR="00D60A35" w:rsidRPr="00A245DA">
        <w:rPr>
          <w:rFonts w:ascii="Times New Roman" w:hAnsi="Times New Roman" w:cs="Times New Roman"/>
        </w:rPr>
        <w:t xml:space="preserve">Eesti Taimekasvatuse Instituut, Keemilise ja Bioloogilise Füüsika Instituut, </w:t>
      </w:r>
      <w:r w:rsidR="00E73AAB" w:rsidRPr="00A245DA">
        <w:rPr>
          <w:rFonts w:ascii="Times New Roman" w:hAnsi="Times New Roman" w:cs="Times New Roman"/>
        </w:rPr>
        <w:t>Tallinna Tehnikaülikool, Tallinna Ülikool, Tartu Ülikool</w:t>
      </w:r>
      <w:r w:rsidR="00491626" w:rsidRPr="00A245DA">
        <w:rPr>
          <w:rFonts w:ascii="Times New Roman" w:hAnsi="Times New Roman" w:cs="Times New Roman"/>
        </w:rPr>
        <w:t>. Esitatud ettepanekud ja märkused ning nende arvestamise või mittearvestamise põhjused on toodud käesoleva seletuskirja lisas olevas kooskõlastustabelis.</w:t>
      </w:r>
    </w:p>
    <w:p w14:paraId="6658E10E" w14:textId="77777777" w:rsidR="00ED2040" w:rsidRPr="00A245DA" w:rsidRDefault="00ED2040" w:rsidP="00D8377C">
      <w:pPr>
        <w:pStyle w:val="NoSpacing"/>
        <w:rPr>
          <w:rFonts w:ascii="Times New Roman" w:hAnsi="Times New Roman" w:cs="Times New Roman"/>
        </w:rPr>
      </w:pPr>
    </w:p>
    <w:p w14:paraId="6658E111" w14:textId="77777777" w:rsidR="00ED2040" w:rsidRPr="00A245DA" w:rsidRDefault="00ED2040" w:rsidP="00D8377C">
      <w:pPr>
        <w:pStyle w:val="NoSpacing"/>
        <w:rPr>
          <w:rFonts w:ascii="Times New Roman" w:hAnsi="Times New Roman" w:cs="Times New Roman"/>
        </w:rPr>
      </w:pPr>
    </w:p>
    <w:p w14:paraId="29312851" w14:textId="77777777" w:rsidR="00FD04F7" w:rsidRPr="00A245DA" w:rsidRDefault="00FD04F7" w:rsidP="00D8377C">
      <w:pPr>
        <w:pStyle w:val="NoSpacing"/>
        <w:rPr>
          <w:rFonts w:ascii="Times New Roman" w:hAnsi="Times New Roman" w:cs="Times New Roman"/>
        </w:rPr>
      </w:pPr>
    </w:p>
    <w:p w14:paraId="5DE47561" w14:textId="77777777" w:rsidR="00FD04F7" w:rsidRPr="00A245DA" w:rsidRDefault="00FD04F7" w:rsidP="00D8377C">
      <w:pPr>
        <w:pStyle w:val="NoSpacing"/>
        <w:rPr>
          <w:rFonts w:ascii="Times New Roman" w:hAnsi="Times New Roman" w:cs="Times New Roman"/>
        </w:rPr>
      </w:pPr>
    </w:p>
    <w:p w14:paraId="2077EECB" w14:textId="77777777" w:rsidR="00FD04F7" w:rsidRPr="00A245DA" w:rsidRDefault="00FD04F7" w:rsidP="00D8377C">
      <w:pPr>
        <w:pStyle w:val="NoSpacing"/>
        <w:rPr>
          <w:rFonts w:ascii="Times New Roman" w:hAnsi="Times New Roman" w:cs="Times New Roman"/>
        </w:rPr>
      </w:pPr>
    </w:p>
    <w:p w14:paraId="6658E114" w14:textId="2587FC8B" w:rsidR="00ED2040" w:rsidRPr="00A245DA" w:rsidRDefault="007C616D" w:rsidP="00D8377C">
      <w:pPr>
        <w:pStyle w:val="NoSpacing"/>
        <w:rPr>
          <w:rFonts w:ascii="Times New Roman" w:hAnsi="Times New Roman" w:cs="Times New Roman"/>
        </w:rPr>
      </w:pPr>
      <w:r w:rsidRPr="00A245DA">
        <w:rPr>
          <w:rFonts w:ascii="Times New Roman" w:hAnsi="Times New Roman" w:cs="Times New Roman"/>
        </w:rPr>
        <w:t xml:space="preserve">Maarja Adojaan </w:t>
      </w:r>
    </w:p>
    <w:p w14:paraId="513F0E33" w14:textId="77777777" w:rsidR="007C616D" w:rsidRPr="00A245DA" w:rsidRDefault="00FD04F7" w:rsidP="00D8377C">
      <w:pPr>
        <w:pStyle w:val="NoSpacing"/>
        <w:rPr>
          <w:rFonts w:ascii="Times New Roman" w:hAnsi="Times New Roman" w:cs="Times New Roman"/>
        </w:rPr>
      </w:pPr>
      <w:r w:rsidRPr="00A245DA">
        <w:rPr>
          <w:rFonts w:ascii="Times New Roman" w:hAnsi="Times New Roman" w:cs="Times New Roman"/>
        </w:rPr>
        <w:t xml:space="preserve">teadusosakonna </w:t>
      </w:r>
      <w:r w:rsidR="007C616D" w:rsidRPr="00A245DA">
        <w:rPr>
          <w:rFonts w:ascii="Times New Roman" w:hAnsi="Times New Roman" w:cs="Times New Roman"/>
        </w:rPr>
        <w:t>ase</w:t>
      </w:r>
      <w:r w:rsidRPr="00A245DA">
        <w:rPr>
          <w:rFonts w:ascii="Times New Roman" w:hAnsi="Times New Roman" w:cs="Times New Roman"/>
        </w:rPr>
        <w:t>juhataja</w:t>
      </w:r>
      <w:r w:rsidR="007C616D" w:rsidRPr="00A245DA">
        <w:rPr>
          <w:rFonts w:ascii="Times New Roman" w:hAnsi="Times New Roman" w:cs="Times New Roman"/>
        </w:rPr>
        <w:t xml:space="preserve"> </w:t>
      </w:r>
    </w:p>
    <w:p w14:paraId="2641D667" w14:textId="4EFCC52F" w:rsidR="00161406" w:rsidRPr="00A245DA" w:rsidRDefault="007C616D" w:rsidP="00B04F65">
      <w:pPr>
        <w:pStyle w:val="NoSpacing"/>
        <w:rPr>
          <w:rFonts w:ascii="Times New Roman" w:hAnsi="Times New Roman" w:cs="Times New Roman"/>
        </w:rPr>
      </w:pPr>
      <w:r w:rsidRPr="00A245DA">
        <w:rPr>
          <w:rFonts w:ascii="Times New Roman" w:hAnsi="Times New Roman" w:cs="Times New Roman"/>
        </w:rPr>
        <w:t>osakonnajuhataja ülesannetes</w:t>
      </w:r>
    </w:p>
    <w:p w14:paraId="27423303" w14:textId="09471C50" w:rsidR="00FD04F7" w:rsidRPr="00A245DA" w:rsidRDefault="00FD04F7" w:rsidP="00C74ACB">
      <w:pPr>
        <w:spacing w:after="0"/>
        <w:jc w:val="right"/>
        <w:rPr>
          <w:rFonts w:ascii="Times New Roman" w:hAnsi="Times New Roman"/>
        </w:rPr>
      </w:pPr>
    </w:p>
    <w:sectPr w:rsidR="00FD04F7" w:rsidRPr="00A245DA" w:rsidSect="00A245DA">
      <w:footerReference w:type="default" r:id="rId16"/>
      <w:pgSz w:w="11906" w:h="16838"/>
      <w:pgMar w:top="1134"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2A1BD" w14:textId="77777777" w:rsidR="005D2BC3" w:rsidRDefault="005D2BC3" w:rsidP="00B10D95">
      <w:pPr>
        <w:spacing w:after="0"/>
      </w:pPr>
      <w:r>
        <w:separator/>
      </w:r>
    </w:p>
  </w:endnote>
  <w:endnote w:type="continuationSeparator" w:id="0">
    <w:p w14:paraId="15B1AA9B" w14:textId="77777777" w:rsidR="005D2BC3" w:rsidRDefault="005D2BC3" w:rsidP="00B10D95">
      <w:pPr>
        <w:spacing w:after="0"/>
      </w:pPr>
      <w:r>
        <w:continuationSeparator/>
      </w:r>
    </w:p>
  </w:endnote>
  <w:endnote w:type="continuationNotice" w:id="1">
    <w:p w14:paraId="58466295" w14:textId="77777777" w:rsidR="005D2BC3" w:rsidRDefault="005D2BC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Calibri">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303628"/>
      <w:docPartObj>
        <w:docPartGallery w:val="Page Numbers (Bottom of Page)"/>
        <w:docPartUnique/>
      </w:docPartObj>
    </w:sdtPr>
    <w:sdtEndPr>
      <w:rPr>
        <w:rFonts w:ascii="Times New Roman" w:hAnsi="Times New Roman" w:cs="Times New Roman"/>
      </w:rPr>
    </w:sdtEndPr>
    <w:sdtContent>
      <w:p w14:paraId="14783BA5" w14:textId="190D262C" w:rsidR="00E11AD1" w:rsidRPr="00A245DA" w:rsidRDefault="00E11AD1" w:rsidP="00A245DA">
        <w:pPr>
          <w:pStyle w:val="Footer"/>
          <w:jc w:val="center"/>
          <w:rPr>
            <w:rFonts w:ascii="Times New Roman" w:hAnsi="Times New Roman" w:cs="Times New Roman"/>
          </w:rPr>
        </w:pPr>
        <w:r w:rsidRPr="009D2F60">
          <w:rPr>
            <w:rFonts w:ascii="Times New Roman" w:hAnsi="Times New Roman" w:cs="Times New Roman"/>
          </w:rPr>
          <w:fldChar w:fldCharType="begin"/>
        </w:r>
        <w:r w:rsidRPr="009D2F60">
          <w:rPr>
            <w:rFonts w:ascii="Times New Roman" w:hAnsi="Times New Roman" w:cs="Times New Roman"/>
          </w:rPr>
          <w:instrText>PAGE   \* MERGEFORMAT</w:instrText>
        </w:r>
        <w:r w:rsidRPr="009D2F60">
          <w:rPr>
            <w:rFonts w:ascii="Times New Roman" w:hAnsi="Times New Roman" w:cs="Times New Roman"/>
          </w:rPr>
          <w:fldChar w:fldCharType="separate"/>
        </w:r>
        <w:r w:rsidR="00B65702">
          <w:rPr>
            <w:rFonts w:ascii="Times New Roman" w:hAnsi="Times New Roman" w:cs="Times New Roman"/>
            <w:noProof/>
          </w:rPr>
          <w:t>1</w:t>
        </w:r>
        <w:r w:rsidRPr="009D2F60">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FAF1F" w14:textId="77777777" w:rsidR="005D2BC3" w:rsidRDefault="005D2BC3" w:rsidP="00B10D95">
      <w:pPr>
        <w:spacing w:after="0"/>
      </w:pPr>
      <w:r>
        <w:separator/>
      </w:r>
    </w:p>
  </w:footnote>
  <w:footnote w:type="continuationSeparator" w:id="0">
    <w:p w14:paraId="4F2A7C17" w14:textId="77777777" w:rsidR="005D2BC3" w:rsidRDefault="005D2BC3" w:rsidP="00B10D95">
      <w:pPr>
        <w:spacing w:after="0"/>
      </w:pPr>
      <w:r>
        <w:continuationSeparator/>
      </w:r>
    </w:p>
  </w:footnote>
  <w:footnote w:type="continuationNotice" w:id="1">
    <w:p w14:paraId="650709A5" w14:textId="77777777" w:rsidR="005D2BC3" w:rsidRDefault="005D2BC3">
      <w:pPr>
        <w:spacing w:before="0" w:after="0"/>
      </w:pPr>
    </w:p>
  </w:footnote>
  <w:footnote w:id="2">
    <w:p w14:paraId="6658E132" w14:textId="2EE79EBE" w:rsidR="00E11AD1" w:rsidRDefault="00E11AD1">
      <w:pPr>
        <w:pStyle w:val="FootnoteText"/>
      </w:pPr>
      <w:r>
        <w:rPr>
          <w:rStyle w:val="FootnoteReference"/>
        </w:rPr>
        <w:footnoteRef/>
      </w:r>
      <w:r>
        <w:t xml:space="preserve"> </w:t>
      </w:r>
      <w:r w:rsidRPr="000531F7">
        <w:rPr>
          <w:rFonts w:ascii="Times New Roman" w:hAnsi="Times New Roman"/>
        </w:rPr>
        <w:t xml:space="preserve">Euroopa Liidu tõukefondide perioodi 2007-2013 teadus- ja arendustegevuse ning kõrghariduse meetmete rakendamise vahehindamine. Tartu, 2011. </w:t>
      </w:r>
      <w:hyperlink r:id="rId1" w:history="1">
        <w:r w:rsidRPr="000531F7">
          <w:rPr>
            <w:rStyle w:val="Hyperlink"/>
            <w:rFonts w:ascii="Times New Roman" w:hAnsi="Times New Roman"/>
          </w:rPr>
          <w:t>http://www.praxis.ee/wp-content/uploads/2014/03/2011-Teadus-ja-arendustegevuse-ning-korghariduse-meetmete-rakendamise-vahehindamine.pdf</w:t>
        </w:r>
      </w:hyperlink>
    </w:p>
  </w:footnote>
  <w:footnote w:id="3">
    <w:p w14:paraId="143461B1" w14:textId="77777777" w:rsidR="00E11AD1" w:rsidRPr="008C5D4B" w:rsidRDefault="00E11AD1" w:rsidP="0006577D">
      <w:pPr>
        <w:pStyle w:val="FootnoteText"/>
        <w:spacing w:before="0"/>
        <w:rPr>
          <w:rFonts w:ascii="Times New Roman" w:hAnsi="Times New Roman"/>
        </w:rPr>
      </w:pPr>
      <w:r w:rsidRPr="008C5D4B">
        <w:rPr>
          <w:rStyle w:val="FootnoteReference"/>
          <w:rFonts w:ascii="Times New Roman" w:hAnsi="Times New Roman"/>
        </w:rPr>
        <w:footnoteRef/>
      </w:r>
      <w:r w:rsidRPr="008C5D4B">
        <w:rPr>
          <w:rFonts w:ascii="Times New Roman" w:hAnsi="Times New Roman"/>
        </w:rPr>
        <w:t xml:space="preserve"> </w:t>
      </w:r>
      <w:r w:rsidRPr="0003387B">
        <w:rPr>
          <w:rFonts w:ascii="Times New Roman" w:hAnsi="Times New Roman"/>
          <w:bCs/>
          <w:lang w:eastAsia="et-EE"/>
        </w:rPr>
        <w:t xml:space="preserve">Report of mapping Exercise on Doctoral Training in Europe “Towards a Common Approach, 2011, Euroopa Komisjon </w:t>
      </w:r>
      <w:hyperlink r:id="rId2" w:history="1">
        <w:r w:rsidRPr="008C5D4B">
          <w:rPr>
            <w:rStyle w:val="Hyperlink"/>
            <w:rFonts w:ascii="Times New Roman" w:hAnsi="Times New Roman"/>
            <w:bCs/>
            <w:lang w:eastAsia="et-EE"/>
          </w:rPr>
          <w:t>http://ec.europa.eu/euraxess/pdf/research_policies/Report_of_Mapping_Exercise_on_Doctoral_Training_FINAL.pdf</w:t>
        </w:r>
      </w:hyperlink>
      <w:r w:rsidRPr="008C5D4B">
        <w:rPr>
          <w:rFonts w:ascii="Times New Roman" w:hAnsi="Times New Roman"/>
          <w:bCs/>
          <w:color w:val="0070C0"/>
          <w:lang w:eastAsia="et-EE"/>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5E3E"/>
    <w:multiLevelType w:val="hybridMultilevel"/>
    <w:tmpl w:val="B4302DD0"/>
    <w:lvl w:ilvl="0" w:tplc="91EECEDE">
      <w:numFmt w:val="bullet"/>
      <w:lvlText w:val="-"/>
      <w:lvlJc w:val="left"/>
      <w:pPr>
        <w:ind w:left="360" w:hanging="360"/>
      </w:pPr>
      <w:rPr>
        <w:rFonts w:ascii="Calibri" w:eastAsiaTheme="minorHAnsi" w:hAnsi="Calibri" w:cstheme="minorBidi"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027575C2"/>
    <w:multiLevelType w:val="hybridMultilevel"/>
    <w:tmpl w:val="87902484"/>
    <w:lvl w:ilvl="0" w:tplc="3D9E53DE">
      <w:start w:val="1"/>
      <w:numFmt w:val="decimal"/>
      <w:lvlText w:val="%1)"/>
      <w:lvlJc w:val="left"/>
      <w:pPr>
        <w:ind w:left="720" w:hanging="360"/>
      </w:pPr>
      <w:rPr>
        <w:rFonts w:ascii="Times New Roman" w:hAnsi="Times New Roman" w:cs="Times New Roman" w:hint="default"/>
        <w:color w:val="auto"/>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A8E28C2"/>
    <w:multiLevelType w:val="hybridMultilevel"/>
    <w:tmpl w:val="E260277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FAB4659"/>
    <w:multiLevelType w:val="hybridMultilevel"/>
    <w:tmpl w:val="3DE4CF02"/>
    <w:lvl w:ilvl="0" w:tplc="04250011">
      <w:start w:val="1"/>
      <w:numFmt w:val="decimal"/>
      <w:lvlText w:val="%1)"/>
      <w:lvlJc w:val="left"/>
      <w:pPr>
        <w:ind w:left="360" w:hanging="360"/>
      </w:pPr>
      <w:rPr>
        <w:rFonts w:hint="default"/>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14DE305D"/>
    <w:multiLevelType w:val="hybridMultilevel"/>
    <w:tmpl w:val="B9C2CA9C"/>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177D5001"/>
    <w:multiLevelType w:val="hybridMultilevel"/>
    <w:tmpl w:val="B4DE4D9E"/>
    <w:lvl w:ilvl="0" w:tplc="22D0DCC4">
      <w:start w:val="1"/>
      <w:numFmt w:val="decimal"/>
      <w:lvlText w:val="%1)"/>
      <w:lvlJc w:val="left"/>
      <w:pPr>
        <w:ind w:left="720" w:hanging="360"/>
      </w:pPr>
      <w:rPr>
        <w:rFonts w:ascii="Times New Roman" w:hAnsi="Times New Roman" w:cs="Times New Roman" w:hint="default"/>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E7B15C2"/>
    <w:multiLevelType w:val="hybridMultilevel"/>
    <w:tmpl w:val="4B56B08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F161247"/>
    <w:multiLevelType w:val="hybridMultilevel"/>
    <w:tmpl w:val="AD1A44CE"/>
    <w:lvl w:ilvl="0" w:tplc="347284FC">
      <w:start w:val="1"/>
      <w:numFmt w:val="bullet"/>
      <w:lvlText w:val="•"/>
      <w:lvlJc w:val="left"/>
      <w:pPr>
        <w:ind w:left="720" w:hanging="360"/>
      </w:pPr>
      <w:rPr>
        <w:rFonts w:ascii="Arial" w:hAnsi="Aria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16D60E1"/>
    <w:multiLevelType w:val="hybridMultilevel"/>
    <w:tmpl w:val="B9904AA2"/>
    <w:lvl w:ilvl="0" w:tplc="66229584">
      <w:start w:val="1"/>
      <w:numFmt w:val="decimal"/>
      <w:lvlText w:val="(%1)"/>
      <w:lvlJc w:val="left"/>
      <w:pPr>
        <w:ind w:left="405" w:hanging="405"/>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32093343"/>
    <w:multiLevelType w:val="hybridMultilevel"/>
    <w:tmpl w:val="8304D7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337049C"/>
    <w:multiLevelType w:val="hybridMultilevel"/>
    <w:tmpl w:val="14543360"/>
    <w:lvl w:ilvl="0" w:tplc="04250011">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427B2EC2"/>
    <w:multiLevelType w:val="hybridMultilevel"/>
    <w:tmpl w:val="B00C44F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538282F"/>
    <w:multiLevelType w:val="hybridMultilevel"/>
    <w:tmpl w:val="5F34E912"/>
    <w:lvl w:ilvl="0" w:tplc="B0DC807A">
      <w:start w:val="1"/>
      <w:numFmt w:val="decimal"/>
      <w:lvlText w:val="%1)"/>
      <w:lvlJc w:val="left"/>
      <w:pPr>
        <w:ind w:left="720" w:hanging="360"/>
      </w:pPr>
      <w:rPr>
        <w:rFonts w:cs="Times New Roman" w:hint="default"/>
        <w:i w:val="0"/>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A78342D"/>
    <w:multiLevelType w:val="hybridMultilevel"/>
    <w:tmpl w:val="C3B0EDE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4" w15:restartNumberingAfterBreak="0">
    <w:nsid w:val="5130578B"/>
    <w:multiLevelType w:val="hybridMultilevel"/>
    <w:tmpl w:val="0F6C1B7E"/>
    <w:lvl w:ilvl="0" w:tplc="0425000F">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15" w15:restartNumberingAfterBreak="0">
    <w:nsid w:val="52B12798"/>
    <w:multiLevelType w:val="hybridMultilevel"/>
    <w:tmpl w:val="5E9E4F1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6" w15:restartNumberingAfterBreak="0">
    <w:nsid w:val="66186A55"/>
    <w:multiLevelType w:val="hybridMultilevel"/>
    <w:tmpl w:val="2DF8DFFA"/>
    <w:lvl w:ilvl="0" w:tplc="3D9E53DE">
      <w:start w:val="1"/>
      <w:numFmt w:val="decimal"/>
      <w:lvlText w:val="%1)"/>
      <w:lvlJc w:val="left"/>
      <w:pPr>
        <w:ind w:left="720" w:hanging="360"/>
      </w:pPr>
      <w:rPr>
        <w:rFonts w:ascii="Times New Roman" w:hAnsi="Times New Roman" w:cs="Times New Roman" w:hint="default"/>
        <w:color w:val="auto"/>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C0F5216"/>
    <w:multiLevelType w:val="hybridMultilevel"/>
    <w:tmpl w:val="DC72866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8" w15:restartNumberingAfterBreak="0">
    <w:nsid w:val="6F21219B"/>
    <w:multiLevelType w:val="hybridMultilevel"/>
    <w:tmpl w:val="BF56FD72"/>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6F572369"/>
    <w:multiLevelType w:val="hybridMultilevel"/>
    <w:tmpl w:val="4E825274"/>
    <w:lvl w:ilvl="0" w:tplc="3D9E53DE">
      <w:start w:val="1"/>
      <w:numFmt w:val="decimal"/>
      <w:lvlText w:val="%1)"/>
      <w:lvlJc w:val="left"/>
      <w:pPr>
        <w:ind w:left="720" w:hanging="360"/>
      </w:pPr>
      <w:rPr>
        <w:rFonts w:ascii="Times New Roman" w:hAnsi="Times New Roman" w:cs="Times New Roman" w:hint="default"/>
        <w:color w:val="auto"/>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27E2DB6"/>
    <w:multiLevelType w:val="hybridMultilevel"/>
    <w:tmpl w:val="66B6AC4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1" w15:restartNumberingAfterBreak="0">
    <w:nsid w:val="730437D5"/>
    <w:multiLevelType w:val="hybridMultilevel"/>
    <w:tmpl w:val="4E825274"/>
    <w:lvl w:ilvl="0" w:tplc="3D9E53DE">
      <w:start w:val="1"/>
      <w:numFmt w:val="decimal"/>
      <w:lvlText w:val="%1)"/>
      <w:lvlJc w:val="left"/>
      <w:pPr>
        <w:ind w:left="720" w:hanging="360"/>
      </w:pPr>
      <w:rPr>
        <w:rFonts w:ascii="Times New Roman" w:hAnsi="Times New Roman" w:cs="Times New Roman" w:hint="default"/>
        <w:color w:val="auto"/>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7446053E"/>
    <w:multiLevelType w:val="hybridMultilevel"/>
    <w:tmpl w:val="E77E5714"/>
    <w:lvl w:ilvl="0" w:tplc="C32AC7D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84F38B4"/>
    <w:multiLevelType w:val="hybridMultilevel"/>
    <w:tmpl w:val="461E6BB4"/>
    <w:lvl w:ilvl="0" w:tplc="BD1C749E">
      <w:start w:val="1"/>
      <w:numFmt w:val="decimal"/>
      <w:lvlText w:val="(%1)"/>
      <w:lvlJc w:val="left"/>
      <w:pPr>
        <w:ind w:left="750" w:hanging="39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C941938"/>
    <w:multiLevelType w:val="hybridMultilevel"/>
    <w:tmpl w:val="7F8808D0"/>
    <w:lvl w:ilvl="0" w:tplc="983E010E">
      <w:start w:val="1"/>
      <w:numFmt w:val="decimal"/>
      <w:lvlText w:val="%1)"/>
      <w:lvlJc w:val="left"/>
      <w:pPr>
        <w:ind w:left="360" w:hanging="360"/>
      </w:pPr>
      <w:rPr>
        <w:rFonts w:ascii="Times New Roman" w:eastAsiaTheme="minorHAnsi" w:hAnsi="Times New Roman" w:cs="Times New Roman" w:hint="default"/>
        <w:sz w:val="24"/>
        <w:szCs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6"/>
  </w:num>
  <w:num w:numId="2">
    <w:abstractNumId w:val="14"/>
  </w:num>
  <w:num w:numId="3">
    <w:abstractNumId w:val="2"/>
  </w:num>
  <w:num w:numId="4">
    <w:abstractNumId w:val="15"/>
  </w:num>
  <w:num w:numId="5">
    <w:abstractNumId w:val="9"/>
  </w:num>
  <w:num w:numId="6">
    <w:abstractNumId w:val="24"/>
  </w:num>
  <w:num w:numId="7">
    <w:abstractNumId w:val="12"/>
  </w:num>
  <w:num w:numId="8">
    <w:abstractNumId w:val="22"/>
  </w:num>
  <w:num w:numId="9">
    <w:abstractNumId w:val="10"/>
  </w:num>
  <w:num w:numId="10">
    <w:abstractNumId w:val="3"/>
  </w:num>
  <w:num w:numId="11">
    <w:abstractNumId w:val="8"/>
  </w:num>
  <w:num w:numId="12">
    <w:abstractNumId w:val="1"/>
  </w:num>
  <w:num w:numId="13">
    <w:abstractNumId w:val="17"/>
  </w:num>
  <w:num w:numId="14">
    <w:abstractNumId w:val="13"/>
  </w:num>
  <w:num w:numId="15">
    <w:abstractNumId w:val="5"/>
  </w:num>
  <w:num w:numId="16">
    <w:abstractNumId w:val="18"/>
  </w:num>
  <w:num w:numId="17">
    <w:abstractNumId w:val="11"/>
  </w:num>
  <w:num w:numId="18">
    <w:abstractNumId w:val="20"/>
  </w:num>
  <w:num w:numId="19">
    <w:abstractNumId w:val="16"/>
  </w:num>
  <w:num w:numId="20">
    <w:abstractNumId w:val="21"/>
  </w:num>
  <w:num w:numId="21">
    <w:abstractNumId w:val="19"/>
  </w:num>
  <w:num w:numId="22">
    <w:abstractNumId w:val="0"/>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3"/>
  </w:num>
  <w:num w:numId="26">
    <w:abstractNumId w:val="7"/>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CD5"/>
    <w:rsid w:val="00000DE0"/>
    <w:rsid w:val="000057B9"/>
    <w:rsid w:val="0000689D"/>
    <w:rsid w:val="00010545"/>
    <w:rsid w:val="000137E3"/>
    <w:rsid w:val="000179C1"/>
    <w:rsid w:val="00021CB7"/>
    <w:rsid w:val="000223A7"/>
    <w:rsid w:val="00024236"/>
    <w:rsid w:val="00033627"/>
    <w:rsid w:val="0003387B"/>
    <w:rsid w:val="00041280"/>
    <w:rsid w:val="00044ADA"/>
    <w:rsid w:val="0004561F"/>
    <w:rsid w:val="00047F0D"/>
    <w:rsid w:val="0005104D"/>
    <w:rsid w:val="00051556"/>
    <w:rsid w:val="000531F7"/>
    <w:rsid w:val="000537B7"/>
    <w:rsid w:val="00055B9D"/>
    <w:rsid w:val="00062AE7"/>
    <w:rsid w:val="0006577D"/>
    <w:rsid w:val="00084B79"/>
    <w:rsid w:val="000850F5"/>
    <w:rsid w:val="000900C3"/>
    <w:rsid w:val="00090B48"/>
    <w:rsid w:val="000939D9"/>
    <w:rsid w:val="000A325E"/>
    <w:rsid w:val="000A44D7"/>
    <w:rsid w:val="000B378D"/>
    <w:rsid w:val="000B38B4"/>
    <w:rsid w:val="000B5717"/>
    <w:rsid w:val="000B586F"/>
    <w:rsid w:val="000B66FA"/>
    <w:rsid w:val="000C609E"/>
    <w:rsid w:val="000D43E7"/>
    <w:rsid w:val="000D4B66"/>
    <w:rsid w:val="000D54EE"/>
    <w:rsid w:val="000E1AE9"/>
    <w:rsid w:val="000E5435"/>
    <w:rsid w:val="000E77D9"/>
    <w:rsid w:val="000F283F"/>
    <w:rsid w:val="000F5831"/>
    <w:rsid w:val="000F71EA"/>
    <w:rsid w:val="0010436D"/>
    <w:rsid w:val="001165EA"/>
    <w:rsid w:val="00133C75"/>
    <w:rsid w:val="00137A61"/>
    <w:rsid w:val="00142C67"/>
    <w:rsid w:val="00142E56"/>
    <w:rsid w:val="001457D4"/>
    <w:rsid w:val="001477FA"/>
    <w:rsid w:val="0015395F"/>
    <w:rsid w:val="00154EEA"/>
    <w:rsid w:val="0015594F"/>
    <w:rsid w:val="00161406"/>
    <w:rsid w:val="00161D49"/>
    <w:rsid w:val="001752EF"/>
    <w:rsid w:val="001868FF"/>
    <w:rsid w:val="00191849"/>
    <w:rsid w:val="00193EF4"/>
    <w:rsid w:val="001A280B"/>
    <w:rsid w:val="001A36E9"/>
    <w:rsid w:val="001A411E"/>
    <w:rsid w:val="001A74C1"/>
    <w:rsid w:val="001B0290"/>
    <w:rsid w:val="001B04E1"/>
    <w:rsid w:val="001B0798"/>
    <w:rsid w:val="001B097F"/>
    <w:rsid w:val="001B1173"/>
    <w:rsid w:val="001B1D43"/>
    <w:rsid w:val="001B5389"/>
    <w:rsid w:val="001B5C87"/>
    <w:rsid w:val="001C2A95"/>
    <w:rsid w:val="001C746E"/>
    <w:rsid w:val="001D1713"/>
    <w:rsid w:val="001D21C4"/>
    <w:rsid w:val="001D2F1F"/>
    <w:rsid w:val="001D4D2C"/>
    <w:rsid w:val="001D7BFB"/>
    <w:rsid w:val="001E0C01"/>
    <w:rsid w:val="001E0FC4"/>
    <w:rsid w:val="001E2E79"/>
    <w:rsid w:val="001E4435"/>
    <w:rsid w:val="001E4551"/>
    <w:rsid w:val="001E57C7"/>
    <w:rsid w:val="001E788F"/>
    <w:rsid w:val="001F2095"/>
    <w:rsid w:val="001F3CB7"/>
    <w:rsid w:val="001F6C86"/>
    <w:rsid w:val="001F7CEF"/>
    <w:rsid w:val="0020688E"/>
    <w:rsid w:val="00206FFC"/>
    <w:rsid w:val="002075D3"/>
    <w:rsid w:val="00216E40"/>
    <w:rsid w:val="00217CED"/>
    <w:rsid w:val="002235A0"/>
    <w:rsid w:val="002268F9"/>
    <w:rsid w:val="0022773A"/>
    <w:rsid w:val="00233FAF"/>
    <w:rsid w:val="002341FF"/>
    <w:rsid w:val="002349F7"/>
    <w:rsid w:val="00237511"/>
    <w:rsid w:val="00240143"/>
    <w:rsid w:val="00244FF4"/>
    <w:rsid w:val="002460E2"/>
    <w:rsid w:val="00247DF0"/>
    <w:rsid w:val="00254C4D"/>
    <w:rsid w:val="00254C4F"/>
    <w:rsid w:val="00265386"/>
    <w:rsid w:val="00266589"/>
    <w:rsid w:val="002733B9"/>
    <w:rsid w:val="002816FE"/>
    <w:rsid w:val="00285C9D"/>
    <w:rsid w:val="00286B1D"/>
    <w:rsid w:val="00293EC3"/>
    <w:rsid w:val="00297E0D"/>
    <w:rsid w:val="002A21EF"/>
    <w:rsid w:val="002A4EF2"/>
    <w:rsid w:val="002A788C"/>
    <w:rsid w:val="002B20BB"/>
    <w:rsid w:val="002B2D4A"/>
    <w:rsid w:val="002B553B"/>
    <w:rsid w:val="002C36BF"/>
    <w:rsid w:val="002C4A40"/>
    <w:rsid w:val="002C6B9E"/>
    <w:rsid w:val="002D065B"/>
    <w:rsid w:val="002D7430"/>
    <w:rsid w:val="002E2F38"/>
    <w:rsid w:val="002F213D"/>
    <w:rsid w:val="002F30F2"/>
    <w:rsid w:val="002F4106"/>
    <w:rsid w:val="00303152"/>
    <w:rsid w:val="00306661"/>
    <w:rsid w:val="0030793B"/>
    <w:rsid w:val="00312BEE"/>
    <w:rsid w:val="003134C3"/>
    <w:rsid w:val="003142A2"/>
    <w:rsid w:val="00317C26"/>
    <w:rsid w:val="00330FDA"/>
    <w:rsid w:val="00332DEC"/>
    <w:rsid w:val="00333B89"/>
    <w:rsid w:val="00334306"/>
    <w:rsid w:val="00335FAA"/>
    <w:rsid w:val="00337589"/>
    <w:rsid w:val="00341D9F"/>
    <w:rsid w:val="00347015"/>
    <w:rsid w:val="00347301"/>
    <w:rsid w:val="00355DC6"/>
    <w:rsid w:val="00367381"/>
    <w:rsid w:val="00375D7D"/>
    <w:rsid w:val="00376A61"/>
    <w:rsid w:val="00384AB6"/>
    <w:rsid w:val="00390981"/>
    <w:rsid w:val="0039251C"/>
    <w:rsid w:val="00392A53"/>
    <w:rsid w:val="0039386A"/>
    <w:rsid w:val="00397737"/>
    <w:rsid w:val="003A5DAE"/>
    <w:rsid w:val="003A666F"/>
    <w:rsid w:val="003B4F07"/>
    <w:rsid w:val="003B5BB3"/>
    <w:rsid w:val="003C04DA"/>
    <w:rsid w:val="003C0757"/>
    <w:rsid w:val="003C135F"/>
    <w:rsid w:val="003C7992"/>
    <w:rsid w:val="003D72DE"/>
    <w:rsid w:val="003D735D"/>
    <w:rsid w:val="003E23A1"/>
    <w:rsid w:val="003E6944"/>
    <w:rsid w:val="003E6D68"/>
    <w:rsid w:val="003F32D7"/>
    <w:rsid w:val="003F37EC"/>
    <w:rsid w:val="003F4DC2"/>
    <w:rsid w:val="003F6C55"/>
    <w:rsid w:val="00401922"/>
    <w:rsid w:val="004110AB"/>
    <w:rsid w:val="004154C1"/>
    <w:rsid w:val="00415E93"/>
    <w:rsid w:val="00416F8F"/>
    <w:rsid w:val="004241C8"/>
    <w:rsid w:val="00425695"/>
    <w:rsid w:val="00444D0A"/>
    <w:rsid w:val="00446D32"/>
    <w:rsid w:val="00451B82"/>
    <w:rsid w:val="00456FE0"/>
    <w:rsid w:val="00457A2F"/>
    <w:rsid w:val="00463C55"/>
    <w:rsid w:val="00467B1C"/>
    <w:rsid w:val="00467B2D"/>
    <w:rsid w:val="0048686C"/>
    <w:rsid w:val="00491626"/>
    <w:rsid w:val="0049170D"/>
    <w:rsid w:val="004A1541"/>
    <w:rsid w:val="004A231F"/>
    <w:rsid w:val="004A33E0"/>
    <w:rsid w:val="004A5825"/>
    <w:rsid w:val="004A7622"/>
    <w:rsid w:val="004B1B03"/>
    <w:rsid w:val="004B6EE6"/>
    <w:rsid w:val="004C1908"/>
    <w:rsid w:val="004C5001"/>
    <w:rsid w:val="004C6B89"/>
    <w:rsid w:val="004D7892"/>
    <w:rsid w:val="004F0BC4"/>
    <w:rsid w:val="004F3A21"/>
    <w:rsid w:val="004F5E33"/>
    <w:rsid w:val="004F6309"/>
    <w:rsid w:val="00502B3D"/>
    <w:rsid w:val="0050628F"/>
    <w:rsid w:val="00510D75"/>
    <w:rsid w:val="00512E41"/>
    <w:rsid w:val="00515306"/>
    <w:rsid w:val="005154F7"/>
    <w:rsid w:val="00516B51"/>
    <w:rsid w:val="00524989"/>
    <w:rsid w:val="0053116B"/>
    <w:rsid w:val="00533A7E"/>
    <w:rsid w:val="0053419A"/>
    <w:rsid w:val="005372D3"/>
    <w:rsid w:val="005412C6"/>
    <w:rsid w:val="00541D9C"/>
    <w:rsid w:val="005443F5"/>
    <w:rsid w:val="00546E7E"/>
    <w:rsid w:val="00552985"/>
    <w:rsid w:val="005530D2"/>
    <w:rsid w:val="00555CC3"/>
    <w:rsid w:val="005636F3"/>
    <w:rsid w:val="005638B2"/>
    <w:rsid w:val="00564A6F"/>
    <w:rsid w:val="00565007"/>
    <w:rsid w:val="00566404"/>
    <w:rsid w:val="00571F8D"/>
    <w:rsid w:val="00582187"/>
    <w:rsid w:val="00583615"/>
    <w:rsid w:val="00584F43"/>
    <w:rsid w:val="0059460F"/>
    <w:rsid w:val="00595895"/>
    <w:rsid w:val="00597764"/>
    <w:rsid w:val="005A4AD6"/>
    <w:rsid w:val="005A4BB1"/>
    <w:rsid w:val="005C1836"/>
    <w:rsid w:val="005C66A1"/>
    <w:rsid w:val="005C738A"/>
    <w:rsid w:val="005C76E5"/>
    <w:rsid w:val="005D1BC6"/>
    <w:rsid w:val="005D2BC3"/>
    <w:rsid w:val="005D2D0E"/>
    <w:rsid w:val="005D32BC"/>
    <w:rsid w:val="005D3F00"/>
    <w:rsid w:val="005D41CF"/>
    <w:rsid w:val="005E0EC9"/>
    <w:rsid w:val="005E587B"/>
    <w:rsid w:val="005E666C"/>
    <w:rsid w:val="005E7FAA"/>
    <w:rsid w:val="005F4036"/>
    <w:rsid w:val="005F43A2"/>
    <w:rsid w:val="005F6883"/>
    <w:rsid w:val="005F6B5C"/>
    <w:rsid w:val="005F730A"/>
    <w:rsid w:val="006004BF"/>
    <w:rsid w:val="00600EF5"/>
    <w:rsid w:val="00601F91"/>
    <w:rsid w:val="00610E55"/>
    <w:rsid w:val="006121CB"/>
    <w:rsid w:val="00615C7D"/>
    <w:rsid w:val="00616D42"/>
    <w:rsid w:val="00620380"/>
    <w:rsid w:val="00621ED6"/>
    <w:rsid w:val="00630091"/>
    <w:rsid w:val="00631295"/>
    <w:rsid w:val="0063298E"/>
    <w:rsid w:val="006351EA"/>
    <w:rsid w:val="0063594C"/>
    <w:rsid w:val="00640329"/>
    <w:rsid w:val="006425E5"/>
    <w:rsid w:val="006441F4"/>
    <w:rsid w:val="0064570C"/>
    <w:rsid w:val="006518F4"/>
    <w:rsid w:val="00653FA6"/>
    <w:rsid w:val="00680108"/>
    <w:rsid w:val="00682460"/>
    <w:rsid w:val="00686AEF"/>
    <w:rsid w:val="00693423"/>
    <w:rsid w:val="006A27AD"/>
    <w:rsid w:val="006A5019"/>
    <w:rsid w:val="006B1388"/>
    <w:rsid w:val="006B1BB9"/>
    <w:rsid w:val="006B2AF7"/>
    <w:rsid w:val="006B4471"/>
    <w:rsid w:val="006B73D9"/>
    <w:rsid w:val="006C64B8"/>
    <w:rsid w:val="006C6D47"/>
    <w:rsid w:val="006E2AC1"/>
    <w:rsid w:val="006F17D8"/>
    <w:rsid w:val="0070450E"/>
    <w:rsid w:val="00705001"/>
    <w:rsid w:val="007077BE"/>
    <w:rsid w:val="00713FD6"/>
    <w:rsid w:val="007149B8"/>
    <w:rsid w:val="00714C97"/>
    <w:rsid w:val="00714EEB"/>
    <w:rsid w:val="00715E0C"/>
    <w:rsid w:val="007164CF"/>
    <w:rsid w:val="00717546"/>
    <w:rsid w:val="00720F1F"/>
    <w:rsid w:val="00726D1D"/>
    <w:rsid w:val="007276B9"/>
    <w:rsid w:val="007331F9"/>
    <w:rsid w:val="00735042"/>
    <w:rsid w:val="00736A27"/>
    <w:rsid w:val="00740FAE"/>
    <w:rsid w:val="007454A1"/>
    <w:rsid w:val="00746694"/>
    <w:rsid w:val="007513A5"/>
    <w:rsid w:val="00752089"/>
    <w:rsid w:val="007552AB"/>
    <w:rsid w:val="00755E7C"/>
    <w:rsid w:val="00765B5D"/>
    <w:rsid w:val="00777EA4"/>
    <w:rsid w:val="0078098E"/>
    <w:rsid w:val="007818B9"/>
    <w:rsid w:val="0078448E"/>
    <w:rsid w:val="0079365E"/>
    <w:rsid w:val="00793D9E"/>
    <w:rsid w:val="007A01F2"/>
    <w:rsid w:val="007A34B1"/>
    <w:rsid w:val="007A3EEB"/>
    <w:rsid w:val="007A40A9"/>
    <w:rsid w:val="007A4FDB"/>
    <w:rsid w:val="007A51B1"/>
    <w:rsid w:val="007A7C11"/>
    <w:rsid w:val="007B188D"/>
    <w:rsid w:val="007B1B85"/>
    <w:rsid w:val="007B2A81"/>
    <w:rsid w:val="007C0EF6"/>
    <w:rsid w:val="007C47DD"/>
    <w:rsid w:val="007C5E6F"/>
    <w:rsid w:val="007C616D"/>
    <w:rsid w:val="007C7AF8"/>
    <w:rsid w:val="007D1F5E"/>
    <w:rsid w:val="007D2082"/>
    <w:rsid w:val="007D3D11"/>
    <w:rsid w:val="007D5A5D"/>
    <w:rsid w:val="007E503B"/>
    <w:rsid w:val="007F2856"/>
    <w:rsid w:val="008037DD"/>
    <w:rsid w:val="0080390E"/>
    <w:rsid w:val="00811DB2"/>
    <w:rsid w:val="0081319A"/>
    <w:rsid w:val="00814368"/>
    <w:rsid w:val="00817617"/>
    <w:rsid w:val="00817E22"/>
    <w:rsid w:val="00820CBB"/>
    <w:rsid w:val="00822C99"/>
    <w:rsid w:val="00823E26"/>
    <w:rsid w:val="00825776"/>
    <w:rsid w:val="00833ACC"/>
    <w:rsid w:val="008372B1"/>
    <w:rsid w:val="00840916"/>
    <w:rsid w:val="0084540E"/>
    <w:rsid w:val="00846045"/>
    <w:rsid w:val="00850FD5"/>
    <w:rsid w:val="00853DCD"/>
    <w:rsid w:val="00863332"/>
    <w:rsid w:val="0086425B"/>
    <w:rsid w:val="00864AB9"/>
    <w:rsid w:val="008656F4"/>
    <w:rsid w:val="00867B65"/>
    <w:rsid w:val="00875591"/>
    <w:rsid w:val="00882C15"/>
    <w:rsid w:val="00883442"/>
    <w:rsid w:val="00886B22"/>
    <w:rsid w:val="008A0E2F"/>
    <w:rsid w:val="008A46E1"/>
    <w:rsid w:val="008B21C4"/>
    <w:rsid w:val="008B7661"/>
    <w:rsid w:val="008C1C2F"/>
    <w:rsid w:val="008C1CD5"/>
    <w:rsid w:val="008C20CC"/>
    <w:rsid w:val="008C332E"/>
    <w:rsid w:val="008C381C"/>
    <w:rsid w:val="008C4A13"/>
    <w:rsid w:val="008C5D4B"/>
    <w:rsid w:val="008D0FA3"/>
    <w:rsid w:val="008D1634"/>
    <w:rsid w:val="008E384E"/>
    <w:rsid w:val="008F21F9"/>
    <w:rsid w:val="008F34A1"/>
    <w:rsid w:val="008F6986"/>
    <w:rsid w:val="00901CA9"/>
    <w:rsid w:val="00903654"/>
    <w:rsid w:val="009042DC"/>
    <w:rsid w:val="00906A12"/>
    <w:rsid w:val="0091063C"/>
    <w:rsid w:val="0091221D"/>
    <w:rsid w:val="009131EA"/>
    <w:rsid w:val="009144DE"/>
    <w:rsid w:val="00916752"/>
    <w:rsid w:val="00917662"/>
    <w:rsid w:val="00917702"/>
    <w:rsid w:val="00924F1B"/>
    <w:rsid w:val="0092522D"/>
    <w:rsid w:val="009265FC"/>
    <w:rsid w:val="009270ED"/>
    <w:rsid w:val="00927169"/>
    <w:rsid w:val="0093212C"/>
    <w:rsid w:val="009360C2"/>
    <w:rsid w:val="009449F1"/>
    <w:rsid w:val="00952FD1"/>
    <w:rsid w:val="009544A0"/>
    <w:rsid w:val="00956DC7"/>
    <w:rsid w:val="00957D9E"/>
    <w:rsid w:val="00960495"/>
    <w:rsid w:val="009623B3"/>
    <w:rsid w:val="00963B53"/>
    <w:rsid w:val="009674E1"/>
    <w:rsid w:val="009677B6"/>
    <w:rsid w:val="00967E50"/>
    <w:rsid w:val="009751B6"/>
    <w:rsid w:val="00980EFC"/>
    <w:rsid w:val="00983767"/>
    <w:rsid w:val="00986DDE"/>
    <w:rsid w:val="0099697B"/>
    <w:rsid w:val="00996FD3"/>
    <w:rsid w:val="009A4E12"/>
    <w:rsid w:val="009A7D45"/>
    <w:rsid w:val="009B4455"/>
    <w:rsid w:val="009B47D3"/>
    <w:rsid w:val="009C2C8A"/>
    <w:rsid w:val="009C2F5A"/>
    <w:rsid w:val="009C3568"/>
    <w:rsid w:val="009C4FB9"/>
    <w:rsid w:val="009C60B1"/>
    <w:rsid w:val="009C6B57"/>
    <w:rsid w:val="009D0C0E"/>
    <w:rsid w:val="009D156A"/>
    <w:rsid w:val="009D2F60"/>
    <w:rsid w:val="009D3F9F"/>
    <w:rsid w:val="009E4826"/>
    <w:rsid w:val="009F66BD"/>
    <w:rsid w:val="009F6D5E"/>
    <w:rsid w:val="00A03DC7"/>
    <w:rsid w:val="00A07F1C"/>
    <w:rsid w:val="00A132A9"/>
    <w:rsid w:val="00A17001"/>
    <w:rsid w:val="00A203F4"/>
    <w:rsid w:val="00A220B8"/>
    <w:rsid w:val="00A23023"/>
    <w:rsid w:val="00A245DA"/>
    <w:rsid w:val="00A27A72"/>
    <w:rsid w:val="00A423D8"/>
    <w:rsid w:val="00A56DEB"/>
    <w:rsid w:val="00A62AA7"/>
    <w:rsid w:val="00A62D02"/>
    <w:rsid w:val="00A641D1"/>
    <w:rsid w:val="00A647A3"/>
    <w:rsid w:val="00A6617D"/>
    <w:rsid w:val="00A7229C"/>
    <w:rsid w:val="00A727B9"/>
    <w:rsid w:val="00A72BEC"/>
    <w:rsid w:val="00A754A0"/>
    <w:rsid w:val="00A832E9"/>
    <w:rsid w:val="00A83C12"/>
    <w:rsid w:val="00AA0703"/>
    <w:rsid w:val="00AB1AFF"/>
    <w:rsid w:val="00AC10E2"/>
    <w:rsid w:val="00AC6213"/>
    <w:rsid w:val="00AD30EF"/>
    <w:rsid w:val="00AD47B9"/>
    <w:rsid w:val="00AD5F22"/>
    <w:rsid w:val="00AD6BC7"/>
    <w:rsid w:val="00AE1B1B"/>
    <w:rsid w:val="00AE7DAB"/>
    <w:rsid w:val="00AF2C78"/>
    <w:rsid w:val="00B00C1B"/>
    <w:rsid w:val="00B032AB"/>
    <w:rsid w:val="00B04F65"/>
    <w:rsid w:val="00B10D95"/>
    <w:rsid w:val="00B1151C"/>
    <w:rsid w:val="00B13E3B"/>
    <w:rsid w:val="00B20EB2"/>
    <w:rsid w:val="00B216D0"/>
    <w:rsid w:val="00B219DD"/>
    <w:rsid w:val="00B22B48"/>
    <w:rsid w:val="00B22DDE"/>
    <w:rsid w:val="00B24FC8"/>
    <w:rsid w:val="00B33C89"/>
    <w:rsid w:val="00B44A28"/>
    <w:rsid w:val="00B45CD5"/>
    <w:rsid w:val="00B51A36"/>
    <w:rsid w:val="00B51C34"/>
    <w:rsid w:val="00B53284"/>
    <w:rsid w:val="00B60585"/>
    <w:rsid w:val="00B61E77"/>
    <w:rsid w:val="00B629C6"/>
    <w:rsid w:val="00B65702"/>
    <w:rsid w:val="00B7021D"/>
    <w:rsid w:val="00B72359"/>
    <w:rsid w:val="00B76015"/>
    <w:rsid w:val="00B8067E"/>
    <w:rsid w:val="00B812DC"/>
    <w:rsid w:val="00B81860"/>
    <w:rsid w:val="00B83593"/>
    <w:rsid w:val="00B90062"/>
    <w:rsid w:val="00B9015E"/>
    <w:rsid w:val="00B96F86"/>
    <w:rsid w:val="00BA2A9B"/>
    <w:rsid w:val="00BA3981"/>
    <w:rsid w:val="00BA3B81"/>
    <w:rsid w:val="00BA41B9"/>
    <w:rsid w:val="00BA4B1D"/>
    <w:rsid w:val="00BA53C5"/>
    <w:rsid w:val="00BB2560"/>
    <w:rsid w:val="00BB3396"/>
    <w:rsid w:val="00BB50CC"/>
    <w:rsid w:val="00BB545B"/>
    <w:rsid w:val="00BB7AEE"/>
    <w:rsid w:val="00BC1265"/>
    <w:rsid w:val="00BC5E99"/>
    <w:rsid w:val="00BC6459"/>
    <w:rsid w:val="00BC73BC"/>
    <w:rsid w:val="00BD2B3E"/>
    <w:rsid w:val="00BD3D22"/>
    <w:rsid w:val="00BD3E31"/>
    <w:rsid w:val="00BD7227"/>
    <w:rsid w:val="00BE08A6"/>
    <w:rsid w:val="00BE7DFD"/>
    <w:rsid w:val="00BF3C2A"/>
    <w:rsid w:val="00C001F8"/>
    <w:rsid w:val="00C03773"/>
    <w:rsid w:val="00C038F5"/>
    <w:rsid w:val="00C06354"/>
    <w:rsid w:val="00C06410"/>
    <w:rsid w:val="00C07B0B"/>
    <w:rsid w:val="00C154AE"/>
    <w:rsid w:val="00C16CEA"/>
    <w:rsid w:val="00C16E02"/>
    <w:rsid w:val="00C20705"/>
    <w:rsid w:val="00C2763D"/>
    <w:rsid w:val="00C30205"/>
    <w:rsid w:val="00C3039E"/>
    <w:rsid w:val="00C3438C"/>
    <w:rsid w:val="00C375AC"/>
    <w:rsid w:val="00C41412"/>
    <w:rsid w:val="00C45FDB"/>
    <w:rsid w:val="00C5276D"/>
    <w:rsid w:val="00C5458B"/>
    <w:rsid w:val="00C6282F"/>
    <w:rsid w:val="00C63E96"/>
    <w:rsid w:val="00C64A3C"/>
    <w:rsid w:val="00C6632E"/>
    <w:rsid w:val="00C66371"/>
    <w:rsid w:val="00C66739"/>
    <w:rsid w:val="00C72E2D"/>
    <w:rsid w:val="00C73FF0"/>
    <w:rsid w:val="00C74ACB"/>
    <w:rsid w:val="00C80D3E"/>
    <w:rsid w:val="00C8465E"/>
    <w:rsid w:val="00C86550"/>
    <w:rsid w:val="00C86FC4"/>
    <w:rsid w:val="00C90858"/>
    <w:rsid w:val="00C91504"/>
    <w:rsid w:val="00C936C2"/>
    <w:rsid w:val="00C93DBB"/>
    <w:rsid w:val="00C94BE9"/>
    <w:rsid w:val="00CA576A"/>
    <w:rsid w:val="00CA7DEB"/>
    <w:rsid w:val="00CB042A"/>
    <w:rsid w:val="00CB05B1"/>
    <w:rsid w:val="00CB30DF"/>
    <w:rsid w:val="00CB3B45"/>
    <w:rsid w:val="00CC00D0"/>
    <w:rsid w:val="00CD290D"/>
    <w:rsid w:val="00CD3352"/>
    <w:rsid w:val="00CE3CFA"/>
    <w:rsid w:val="00CE4559"/>
    <w:rsid w:val="00CE51BB"/>
    <w:rsid w:val="00CE55BA"/>
    <w:rsid w:val="00CE6BD8"/>
    <w:rsid w:val="00CE7DF5"/>
    <w:rsid w:val="00CF08FA"/>
    <w:rsid w:val="00CF16B5"/>
    <w:rsid w:val="00CF2A62"/>
    <w:rsid w:val="00CF2E18"/>
    <w:rsid w:val="00CF58D3"/>
    <w:rsid w:val="00CF5C81"/>
    <w:rsid w:val="00D01E3E"/>
    <w:rsid w:val="00D037B5"/>
    <w:rsid w:val="00D03BB6"/>
    <w:rsid w:val="00D05908"/>
    <w:rsid w:val="00D074ED"/>
    <w:rsid w:val="00D07948"/>
    <w:rsid w:val="00D108F8"/>
    <w:rsid w:val="00D12605"/>
    <w:rsid w:val="00D12F37"/>
    <w:rsid w:val="00D13289"/>
    <w:rsid w:val="00D1620D"/>
    <w:rsid w:val="00D17676"/>
    <w:rsid w:val="00D22F16"/>
    <w:rsid w:val="00D2527E"/>
    <w:rsid w:val="00D34325"/>
    <w:rsid w:val="00D4228F"/>
    <w:rsid w:val="00D45A35"/>
    <w:rsid w:val="00D50D81"/>
    <w:rsid w:val="00D53A82"/>
    <w:rsid w:val="00D60A35"/>
    <w:rsid w:val="00D80A38"/>
    <w:rsid w:val="00D80A98"/>
    <w:rsid w:val="00D815E2"/>
    <w:rsid w:val="00D8377C"/>
    <w:rsid w:val="00D83D8D"/>
    <w:rsid w:val="00D8464F"/>
    <w:rsid w:val="00D879A2"/>
    <w:rsid w:val="00D945FC"/>
    <w:rsid w:val="00DA0653"/>
    <w:rsid w:val="00DA0B85"/>
    <w:rsid w:val="00DA0D2E"/>
    <w:rsid w:val="00DA287E"/>
    <w:rsid w:val="00DB2640"/>
    <w:rsid w:val="00DB555E"/>
    <w:rsid w:val="00DB6E00"/>
    <w:rsid w:val="00DB746A"/>
    <w:rsid w:val="00DC0568"/>
    <w:rsid w:val="00DC07F8"/>
    <w:rsid w:val="00DC0B8D"/>
    <w:rsid w:val="00DC65EE"/>
    <w:rsid w:val="00DC6AB3"/>
    <w:rsid w:val="00DC6E81"/>
    <w:rsid w:val="00DD1A79"/>
    <w:rsid w:val="00DD4637"/>
    <w:rsid w:val="00DD490C"/>
    <w:rsid w:val="00DE1A31"/>
    <w:rsid w:val="00DE2379"/>
    <w:rsid w:val="00DE3286"/>
    <w:rsid w:val="00DE35D4"/>
    <w:rsid w:val="00DE3A0E"/>
    <w:rsid w:val="00DE3D2B"/>
    <w:rsid w:val="00DE3DF3"/>
    <w:rsid w:val="00DE52E9"/>
    <w:rsid w:val="00DF0D42"/>
    <w:rsid w:val="00DF1A11"/>
    <w:rsid w:val="00DF1B42"/>
    <w:rsid w:val="00DF623B"/>
    <w:rsid w:val="00E029EE"/>
    <w:rsid w:val="00E079B5"/>
    <w:rsid w:val="00E10DA8"/>
    <w:rsid w:val="00E11AD1"/>
    <w:rsid w:val="00E1367B"/>
    <w:rsid w:val="00E15528"/>
    <w:rsid w:val="00E16782"/>
    <w:rsid w:val="00E227A5"/>
    <w:rsid w:val="00E24727"/>
    <w:rsid w:val="00E24A45"/>
    <w:rsid w:val="00E36020"/>
    <w:rsid w:val="00E36D57"/>
    <w:rsid w:val="00E4001A"/>
    <w:rsid w:val="00E42F0F"/>
    <w:rsid w:val="00E46874"/>
    <w:rsid w:val="00E50F20"/>
    <w:rsid w:val="00E5116D"/>
    <w:rsid w:val="00E54153"/>
    <w:rsid w:val="00E57852"/>
    <w:rsid w:val="00E66410"/>
    <w:rsid w:val="00E73AAB"/>
    <w:rsid w:val="00E74097"/>
    <w:rsid w:val="00E755E6"/>
    <w:rsid w:val="00E76D68"/>
    <w:rsid w:val="00E85214"/>
    <w:rsid w:val="00E86CF7"/>
    <w:rsid w:val="00E87D0F"/>
    <w:rsid w:val="00E9617D"/>
    <w:rsid w:val="00EA7E62"/>
    <w:rsid w:val="00EC7EA2"/>
    <w:rsid w:val="00ED2040"/>
    <w:rsid w:val="00EE385F"/>
    <w:rsid w:val="00EE7DCE"/>
    <w:rsid w:val="00EF4C26"/>
    <w:rsid w:val="00EF577A"/>
    <w:rsid w:val="00EF6F65"/>
    <w:rsid w:val="00F01834"/>
    <w:rsid w:val="00F106B2"/>
    <w:rsid w:val="00F169CD"/>
    <w:rsid w:val="00F214C4"/>
    <w:rsid w:val="00F22391"/>
    <w:rsid w:val="00F27EC9"/>
    <w:rsid w:val="00F30708"/>
    <w:rsid w:val="00F44AFC"/>
    <w:rsid w:val="00F47932"/>
    <w:rsid w:val="00F50B84"/>
    <w:rsid w:val="00F52409"/>
    <w:rsid w:val="00F52637"/>
    <w:rsid w:val="00F65F31"/>
    <w:rsid w:val="00F66C68"/>
    <w:rsid w:val="00F67767"/>
    <w:rsid w:val="00F73705"/>
    <w:rsid w:val="00F750F8"/>
    <w:rsid w:val="00F75840"/>
    <w:rsid w:val="00F83F80"/>
    <w:rsid w:val="00F86A24"/>
    <w:rsid w:val="00F87473"/>
    <w:rsid w:val="00F93270"/>
    <w:rsid w:val="00F93D6C"/>
    <w:rsid w:val="00F95850"/>
    <w:rsid w:val="00FA6AB6"/>
    <w:rsid w:val="00FB6A34"/>
    <w:rsid w:val="00FB7234"/>
    <w:rsid w:val="00FC3B61"/>
    <w:rsid w:val="00FC7099"/>
    <w:rsid w:val="00FC7481"/>
    <w:rsid w:val="00FD00A1"/>
    <w:rsid w:val="00FD04F7"/>
    <w:rsid w:val="00FD0E1E"/>
    <w:rsid w:val="00FD1A03"/>
    <w:rsid w:val="00FD5486"/>
    <w:rsid w:val="00FD669D"/>
    <w:rsid w:val="00FD6F20"/>
    <w:rsid w:val="00FD71E8"/>
    <w:rsid w:val="00FE0946"/>
    <w:rsid w:val="00FE3FB9"/>
    <w:rsid w:val="00FE6DA1"/>
    <w:rsid w:val="00FF49CA"/>
    <w:rsid w:val="00FF5FD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8E092"/>
  <w15:docId w15:val="{E00ECC22-337D-4F0E-B8DD-281C54A9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kst normal"/>
    <w:qFormat/>
    <w:rsid w:val="00E4001A"/>
    <w:pPr>
      <w:spacing w:before="240" w:after="240" w:line="240" w:lineRule="auto"/>
      <w:jc w:val="both"/>
    </w:pPr>
    <w:rPr>
      <w:rFonts w:eastAsia="Times New Roman" w:cs="Times New Roman"/>
    </w:rPr>
  </w:style>
  <w:style w:type="paragraph" w:styleId="Heading3">
    <w:name w:val="heading 3"/>
    <w:aliases w:val="Sisulehe pealkiri 2"/>
    <w:basedOn w:val="Normal"/>
    <w:next w:val="Normal"/>
    <w:link w:val="Heading3Char"/>
    <w:uiPriority w:val="9"/>
    <w:qFormat/>
    <w:rsid w:val="00E4001A"/>
    <w:pPr>
      <w:keepNext/>
      <w:keepLines/>
      <w:spacing w:before="200"/>
      <w:outlineLvl w:val="2"/>
    </w:pPr>
    <w:rPr>
      <w:bCs/>
      <w:color w:val="1C9AD7"/>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6F8F"/>
    <w:pPr>
      <w:spacing w:before="100" w:beforeAutospacing="1" w:after="100" w:afterAutospacing="1"/>
    </w:pPr>
    <w:rPr>
      <w:rFonts w:ascii="Times New Roman" w:hAnsi="Times New Roman"/>
      <w:sz w:val="24"/>
      <w:szCs w:val="24"/>
      <w:lang w:eastAsia="et-EE"/>
    </w:rPr>
  </w:style>
  <w:style w:type="paragraph" w:customStyle="1" w:styleId="western">
    <w:name w:val="western"/>
    <w:basedOn w:val="Normal"/>
    <w:rsid w:val="00416F8F"/>
    <w:pPr>
      <w:spacing w:before="100" w:beforeAutospacing="1" w:after="119"/>
    </w:pPr>
    <w:rPr>
      <w:rFonts w:ascii="Times New Roman" w:hAnsi="Times New Roman"/>
      <w:color w:val="000000"/>
      <w:sz w:val="24"/>
      <w:szCs w:val="24"/>
      <w:lang w:eastAsia="et-EE"/>
    </w:rPr>
  </w:style>
  <w:style w:type="paragraph" w:styleId="NoSpacing">
    <w:name w:val="No Spacing"/>
    <w:uiPriority w:val="1"/>
    <w:qFormat/>
    <w:rsid w:val="006004BF"/>
    <w:pPr>
      <w:spacing w:after="0" w:line="240" w:lineRule="auto"/>
    </w:pPr>
  </w:style>
  <w:style w:type="character" w:styleId="CommentReference">
    <w:name w:val="annotation reference"/>
    <w:basedOn w:val="DefaultParagraphFont"/>
    <w:uiPriority w:val="99"/>
    <w:unhideWhenUsed/>
    <w:rsid w:val="00EE385F"/>
    <w:rPr>
      <w:sz w:val="16"/>
      <w:szCs w:val="16"/>
    </w:rPr>
  </w:style>
  <w:style w:type="paragraph" w:styleId="CommentText">
    <w:name w:val="annotation text"/>
    <w:basedOn w:val="Normal"/>
    <w:link w:val="CommentTextChar"/>
    <w:uiPriority w:val="99"/>
    <w:unhideWhenUsed/>
    <w:rsid w:val="00EE385F"/>
    <w:rPr>
      <w:sz w:val="20"/>
      <w:szCs w:val="20"/>
    </w:rPr>
  </w:style>
  <w:style w:type="character" w:customStyle="1" w:styleId="CommentTextChar">
    <w:name w:val="Comment Text Char"/>
    <w:basedOn w:val="DefaultParagraphFont"/>
    <w:link w:val="CommentText"/>
    <w:uiPriority w:val="99"/>
    <w:rsid w:val="00EE385F"/>
    <w:rPr>
      <w:sz w:val="20"/>
      <w:szCs w:val="20"/>
    </w:rPr>
  </w:style>
  <w:style w:type="paragraph" w:styleId="CommentSubject">
    <w:name w:val="annotation subject"/>
    <w:basedOn w:val="CommentText"/>
    <w:next w:val="CommentText"/>
    <w:link w:val="CommentSubjectChar"/>
    <w:uiPriority w:val="99"/>
    <w:semiHidden/>
    <w:unhideWhenUsed/>
    <w:rsid w:val="00EE385F"/>
    <w:rPr>
      <w:b/>
      <w:bCs/>
    </w:rPr>
  </w:style>
  <w:style w:type="character" w:customStyle="1" w:styleId="CommentSubjectChar">
    <w:name w:val="Comment Subject Char"/>
    <w:basedOn w:val="CommentTextChar"/>
    <w:link w:val="CommentSubject"/>
    <w:uiPriority w:val="99"/>
    <w:semiHidden/>
    <w:rsid w:val="00EE385F"/>
    <w:rPr>
      <w:b/>
      <w:bCs/>
      <w:sz w:val="20"/>
      <w:szCs w:val="20"/>
    </w:rPr>
  </w:style>
  <w:style w:type="paragraph" w:styleId="BalloonText">
    <w:name w:val="Balloon Text"/>
    <w:basedOn w:val="Normal"/>
    <w:link w:val="BalloonTextChar"/>
    <w:uiPriority w:val="99"/>
    <w:semiHidden/>
    <w:unhideWhenUsed/>
    <w:rsid w:val="00EE385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85F"/>
    <w:rPr>
      <w:rFonts w:ascii="Tahoma" w:hAnsi="Tahoma" w:cs="Tahoma"/>
      <w:sz w:val="16"/>
      <w:szCs w:val="16"/>
    </w:rPr>
  </w:style>
  <w:style w:type="paragraph" w:styleId="FootnoteText">
    <w:name w:val="footnote text"/>
    <w:basedOn w:val="Normal"/>
    <w:link w:val="FootnoteTextChar"/>
    <w:uiPriority w:val="99"/>
    <w:unhideWhenUsed/>
    <w:rsid w:val="00B10D95"/>
    <w:pPr>
      <w:spacing w:after="0"/>
    </w:pPr>
    <w:rPr>
      <w:sz w:val="20"/>
      <w:szCs w:val="20"/>
    </w:rPr>
  </w:style>
  <w:style w:type="character" w:customStyle="1" w:styleId="FootnoteTextChar">
    <w:name w:val="Footnote Text Char"/>
    <w:basedOn w:val="DefaultParagraphFont"/>
    <w:link w:val="FootnoteText"/>
    <w:uiPriority w:val="99"/>
    <w:rsid w:val="00B10D95"/>
    <w:rPr>
      <w:sz w:val="20"/>
      <w:szCs w:val="20"/>
    </w:rPr>
  </w:style>
  <w:style w:type="character" w:styleId="FootnoteReference">
    <w:name w:val="footnote reference"/>
    <w:basedOn w:val="DefaultParagraphFont"/>
    <w:uiPriority w:val="99"/>
    <w:semiHidden/>
    <w:unhideWhenUsed/>
    <w:rsid w:val="00B10D95"/>
    <w:rPr>
      <w:vertAlign w:val="superscript"/>
    </w:rPr>
  </w:style>
  <w:style w:type="character" w:styleId="Hyperlink">
    <w:name w:val="Hyperlink"/>
    <w:basedOn w:val="DefaultParagraphFont"/>
    <w:uiPriority w:val="99"/>
    <w:unhideWhenUsed/>
    <w:rsid w:val="00B10D95"/>
    <w:rPr>
      <w:color w:val="0000FF" w:themeColor="hyperlink"/>
      <w:u w:val="single"/>
    </w:rPr>
  </w:style>
  <w:style w:type="character" w:customStyle="1" w:styleId="Heading3Char">
    <w:name w:val="Heading 3 Char"/>
    <w:aliases w:val="Sisulehe pealkiri 2 Char"/>
    <w:basedOn w:val="DefaultParagraphFont"/>
    <w:link w:val="Heading3"/>
    <w:uiPriority w:val="9"/>
    <w:rsid w:val="00E4001A"/>
    <w:rPr>
      <w:rFonts w:eastAsia="Times New Roman" w:cs="Times New Roman"/>
      <w:bCs/>
      <w:color w:val="1C9AD7"/>
      <w:sz w:val="28"/>
    </w:rPr>
  </w:style>
  <w:style w:type="paragraph" w:styleId="PlainText">
    <w:name w:val="Plain Text"/>
    <w:basedOn w:val="Normal"/>
    <w:link w:val="PlainTextChar"/>
    <w:uiPriority w:val="99"/>
    <w:semiHidden/>
    <w:unhideWhenUsed/>
    <w:rsid w:val="00CF08FA"/>
    <w:pPr>
      <w:spacing w:before="0" w:after="0"/>
      <w:jc w:val="left"/>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CF08FA"/>
    <w:rPr>
      <w:rFonts w:ascii="Calibri" w:hAnsi="Calibri"/>
      <w:szCs w:val="21"/>
    </w:rPr>
  </w:style>
  <w:style w:type="paragraph" w:customStyle="1" w:styleId="VahedetaTimes12">
    <w:name w:val="Vahedeta Times 12"/>
    <w:basedOn w:val="NoSpacing"/>
    <w:link w:val="VahedetaTimes12Mrk"/>
    <w:qFormat/>
    <w:rsid w:val="00B00C1B"/>
    <w:rPr>
      <w:rFonts w:ascii="Times New Roman" w:eastAsia="Calibri" w:hAnsi="Times New Roman" w:cs="Times New Roman"/>
      <w:sz w:val="24"/>
      <w:szCs w:val="24"/>
      <w:lang w:eastAsia="et-EE"/>
    </w:rPr>
  </w:style>
  <w:style w:type="character" w:customStyle="1" w:styleId="VahedetaTimes12Mrk">
    <w:name w:val="Vahedeta Times 12 Märk"/>
    <w:basedOn w:val="DefaultParagraphFont"/>
    <w:link w:val="VahedetaTimes12"/>
    <w:rsid w:val="00B00C1B"/>
    <w:rPr>
      <w:rFonts w:ascii="Times New Roman" w:eastAsia="Calibri" w:hAnsi="Times New Roman" w:cs="Times New Roman"/>
      <w:sz w:val="24"/>
      <w:szCs w:val="24"/>
      <w:lang w:eastAsia="et-EE"/>
    </w:rPr>
  </w:style>
  <w:style w:type="paragraph" w:styleId="Footer">
    <w:name w:val="footer"/>
    <w:basedOn w:val="Normal"/>
    <w:link w:val="FooterChar"/>
    <w:uiPriority w:val="99"/>
    <w:unhideWhenUsed/>
    <w:rsid w:val="00C03773"/>
    <w:pPr>
      <w:tabs>
        <w:tab w:val="center" w:pos="4536"/>
        <w:tab w:val="right" w:pos="9072"/>
      </w:tabs>
      <w:spacing w:before="0" w:after="0"/>
      <w:jc w:val="left"/>
    </w:pPr>
    <w:rPr>
      <w:rFonts w:eastAsiaTheme="minorHAnsi" w:cstheme="minorBidi"/>
    </w:rPr>
  </w:style>
  <w:style w:type="character" w:customStyle="1" w:styleId="FooterChar">
    <w:name w:val="Footer Char"/>
    <w:basedOn w:val="DefaultParagraphFont"/>
    <w:link w:val="Footer"/>
    <w:uiPriority w:val="99"/>
    <w:rsid w:val="00C03773"/>
  </w:style>
  <w:style w:type="paragraph" w:styleId="ListParagraph">
    <w:name w:val="List Paragraph"/>
    <w:aliases w:val="Mummuga loetelu"/>
    <w:basedOn w:val="Normal"/>
    <w:link w:val="ListParagraphChar"/>
    <w:uiPriority w:val="34"/>
    <w:qFormat/>
    <w:rsid w:val="007C47DD"/>
    <w:pPr>
      <w:spacing w:before="0" w:after="200" w:line="276" w:lineRule="auto"/>
      <w:ind w:left="720"/>
      <w:contextualSpacing/>
      <w:jc w:val="left"/>
    </w:pPr>
    <w:rPr>
      <w:rFonts w:eastAsiaTheme="minorHAnsi" w:cstheme="minorBidi"/>
    </w:rPr>
  </w:style>
  <w:style w:type="character" w:customStyle="1" w:styleId="ListParagraphChar">
    <w:name w:val="List Paragraph Char"/>
    <w:aliases w:val="Mummuga loetelu Char"/>
    <w:link w:val="ListParagraph"/>
    <w:uiPriority w:val="34"/>
    <w:rsid w:val="007C47DD"/>
  </w:style>
  <w:style w:type="paragraph" w:styleId="Header">
    <w:name w:val="header"/>
    <w:basedOn w:val="Normal"/>
    <w:link w:val="HeaderChar"/>
    <w:uiPriority w:val="99"/>
    <w:unhideWhenUsed/>
    <w:rsid w:val="00B60585"/>
    <w:pPr>
      <w:tabs>
        <w:tab w:val="center" w:pos="4536"/>
        <w:tab w:val="right" w:pos="9072"/>
      </w:tabs>
      <w:spacing w:before="0" w:after="0"/>
      <w:jc w:val="left"/>
    </w:pPr>
    <w:rPr>
      <w:rFonts w:eastAsiaTheme="minorHAnsi" w:cstheme="minorBidi"/>
    </w:rPr>
  </w:style>
  <w:style w:type="character" w:customStyle="1" w:styleId="HeaderChar">
    <w:name w:val="Header Char"/>
    <w:basedOn w:val="DefaultParagraphFont"/>
    <w:link w:val="Header"/>
    <w:uiPriority w:val="99"/>
    <w:rsid w:val="00B60585"/>
  </w:style>
  <w:style w:type="character" w:customStyle="1" w:styleId="tyhik">
    <w:name w:val="tyhik"/>
    <w:basedOn w:val="DefaultParagraphFont"/>
    <w:rsid w:val="00041280"/>
  </w:style>
  <w:style w:type="character" w:customStyle="1" w:styleId="mm">
    <w:name w:val="mm"/>
    <w:basedOn w:val="DefaultParagraphFont"/>
    <w:rsid w:val="004F5E33"/>
  </w:style>
  <w:style w:type="table" w:styleId="TableGrid">
    <w:name w:val="Table Grid"/>
    <w:basedOn w:val="TableNormal"/>
    <w:uiPriority w:val="59"/>
    <w:rsid w:val="004F5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3C12"/>
    <w:pPr>
      <w:spacing w:after="0" w:line="240" w:lineRule="auto"/>
    </w:pPr>
    <w:rPr>
      <w:rFonts w:eastAsia="Times New Roman" w:cs="Times New Roman"/>
    </w:rPr>
  </w:style>
  <w:style w:type="character" w:styleId="FollowedHyperlink">
    <w:name w:val="FollowedHyperlink"/>
    <w:basedOn w:val="DefaultParagraphFont"/>
    <w:uiPriority w:val="99"/>
    <w:semiHidden/>
    <w:unhideWhenUsed/>
    <w:rsid w:val="00F44A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71881">
      <w:bodyDiv w:val="1"/>
      <w:marLeft w:val="0"/>
      <w:marRight w:val="0"/>
      <w:marTop w:val="0"/>
      <w:marBottom w:val="0"/>
      <w:divBdr>
        <w:top w:val="none" w:sz="0" w:space="0" w:color="auto"/>
        <w:left w:val="none" w:sz="0" w:space="0" w:color="auto"/>
        <w:bottom w:val="none" w:sz="0" w:space="0" w:color="auto"/>
        <w:right w:val="none" w:sz="0" w:space="0" w:color="auto"/>
      </w:divBdr>
    </w:div>
    <w:div w:id="334454556">
      <w:bodyDiv w:val="1"/>
      <w:marLeft w:val="0"/>
      <w:marRight w:val="0"/>
      <w:marTop w:val="0"/>
      <w:marBottom w:val="0"/>
      <w:divBdr>
        <w:top w:val="none" w:sz="0" w:space="0" w:color="auto"/>
        <w:left w:val="none" w:sz="0" w:space="0" w:color="auto"/>
        <w:bottom w:val="none" w:sz="0" w:space="0" w:color="auto"/>
        <w:right w:val="none" w:sz="0" w:space="0" w:color="auto"/>
      </w:divBdr>
    </w:div>
    <w:div w:id="406997156">
      <w:bodyDiv w:val="1"/>
      <w:marLeft w:val="0"/>
      <w:marRight w:val="0"/>
      <w:marTop w:val="0"/>
      <w:marBottom w:val="0"/>
      <w:divBdr>
        <w:top w:val="none" w:sz="0" w:space="0" w:color="auto"/>
        <w:left w:val="none" w:sz="0" w:space="0" w:color="auto"/>
        <w:bottom w:val="none" w:sz="0" w:space="0" w:color="auto"/>
        <w:right w:val="none" w:sz="0" w:space="0" w:color="auto"/>
      </w:divBdr>
    </w:div>
    <w:div w:id="452097955">
      <w:bodyDiv w:val="1"/>
      <w:marLeft w:val="0"/>
      <w:marRight w:val="0"/>
      <w:marTop w:val="0"/>
      <w:marBottom w:val="0"/>
      <w:divBdr>
        <w:top w:val="none" w:sz="0" w:space="0" w:color="auto"/>
        <w:left w:val="none" w:sz="0" w:space="0" w:color="auto"/>
        <w:bottom w:val="none" w:sz="0" w:space="0" w:color="auto"/>
        <w:right w:val="none" w:sz="0" w:space="0" w:color="auto"/>
      </w:divBdr>
    </w:div>
    <w:div w:id="634062259">
      <w:bodyDiv w:val="1"/>
      <w:marLeft w:val="0"/>
      <w:marRight w:val="0"/>
      <w:marTop w:val="0"/>
      <w:marBottom w:val="0"/>
      <w:divBdr>
        <w:top w:val="none" w:sz="0" w:space="0" w:color="auto"/>
        <w:left w:val="none" w:sz="0" w:space="0" w:color="auto"/>
        <w:bottom w:val="none" w:sz="0" w:space="0" w:color="auto"/>
        <w:right w:val="none" w:sz="0" w:space="0" w:color="auto"/>
      </w:divBdr>
    </w:div>
    <w:div w:id="706679600">
      <w:bodyDiv w:val="1"/>
      <w:marLeft w:val="0"/>
      <w:marRight w:val="0"/>
      <w:marTop w:val="0"/>
      <w:marBottom w:val="0"/>
      <w:divBdr>
        <w:top w:val="none" w:sz="0" w:space="0" w:color="auto"/>
        <w:left w:val="none" w:sz="0" w:space="0" w:color="auto"/>
        <w:bottom w:val="none" w:sz="0" w:space="0" w:color="auto"/>
        <w:right w:val="none" w:sz="0" w:space="0" w:color="auto"/>
      </w:divBdr>
    </w:div>
    <w:div w:id="734398673">
      <w:bodyDiv w:val="1"/>
      <w:marLeft w:val="0"/>
      <w:marRight w:val="0"/>
      <w:marTop w:val="0"/>
      <w:marBottom w:val="0"/>
      <w:divBdr>
        <w:top w:val="none" w:sz="0" w:space="0" w:color="auto"/>
        <w:left w:val="none" w:sz="0" w:space="0" w:color="auto"/>
        <w:bottom w:val="none" w:sz="0" w:space="0" w:color="auto"/>
        <w:right w:val="none" w:sz="0" w:space="0" w:color="auto"/>
      </w:divBdr>
    </w:div>
    <w:div w:id="744650800">
      <w:bodyDiv w:val="1"/>
      <w:marLeft w:val="0"/>
      <w:marRight w:val="0"/>
      <w:marTop w:val="0"/>
      <w:marBottom w:val="0"/>
      <w:divBdr>
        <w:top w:val="none" w:sz="0" w:space="0" w:color="auto"/>
        <w:left w:val="none" w:sz="0" w:space="0" w:color="auto"/>
        <w:bottom w:val="none" w:sz="0" w:space="0" w:color="auto"/>
        <w:right w:val="none" w:sz="0" w:space="0" w:color="auto"/>
      </w:divBdr>
    </w:div>
    <w:div w:id="763183710">
      <w:bodyDiv w:val="1"/>
      <w:marLeft w:val="0"/>
      <w:marRight w:val="0"/>
      <w:marTop w:val="0"/>
      <w:marBottom w:val="0"/>
      <w:divBdr>
        <w:top w:val="none" w:sz="0" w:space="0" w:color="auto"/>
        <w:left w:val="none" w:sz="0" w:space="0" w:color="auto"/>
        <w:bottom w:val="none" w:sz="0" w:space="0" w:color="auto"/>
        <w:right w:val="none" w:sz="0" w:space="0" w:color="auto"/>
      </w:divBdr>
    </w:div>
    <w:div w:id="784884295">
      <w:bodyDiv w:val="1"/>
      <w:marLeft w:val="0"/>
      <w:marRight w:val="0"/>
      <w:marTop w:val="0"/>
      <w:marBottom w:val="0"/>
      <w:divBdr>
        <w:top w:val="none" w:sz="0" w:space="0" w:color="auto"/>
        <w:left w:val="none" w:sz="0" w:space="0" w:color="auto"/>
        <w:bottom w:val="none" w:sz="0" w:space="0" w:color="auto"/>
        <w:right w:val="none" w:sz="0" w:space="0" w:color="auto"/>
      </w:divBdr>
      <w:divsChild>
        <w:div w:id="1979459111">
          <w:marLeft w:val="0"/>
          <w:marRight w:val="0"/>
          <w:marTop w:val="0"/>
          <w:marBottom w:val="0"/>
          <w:divBdr>
            <w:top w:val="none" w:sz="0" w:space="0" w:color="auto"/>
            <w:left w:val="none" w:sz="0" w:space="0" w:color="auto"/>
            <w:bottom w:val="none" w:sz="0" w:space="0" w:color="auto"/>
            <w:right w:val="none" w:sz="0" w:space="0" w:color="auto"/>
          </w:divBdr>
          <w:divsChild>
            <w:div w:id="1046753857">
              <w:marLeft w:val="0"/>
              <w:marRight w:val="0"/>
              <w:marTop w:val="0"/>
              <w:marBottom w:val="0"/>
              <w:divBdr>
                <w:top w:val="none" w:sz="0" w:space="0" w:color="auto"/>
                <w:left w:val="none" w:sz="0" w:space="0" w:color="auto"/>
                <w:bottom w:val="none" w:sz="0" w:space="0" w:color="auto"/>
                <w:right w:val="none" w:sz="0" w:space="0" w:color="auto"/>
              </w:divBdr>
              <w:divsChild>
                <w:div w:id="429013151">
                  <w:marLeft w:val="0"/>
                  <w:marRight w:val="0"/>
                  <w:marTop w:val="0"/>
                  <w:marBottom w:val="0"/>
                  <w:divBdr>
                    <w:top w:val="none" w:sz="0" w:space="0" w:color="auto"/>
                    <w:left w:val="none" w:sz="0" w:space="0" w:color="auto"/>
                    <w:bottom w:val="none" w:sz="0" w:space="0" w:color="auto"/>
                    <w:right w:val="none" w:sz="0" w:space="0" w:color="auto"/>
                  </w:divBdr>
                  <w:divsChild>
                    <w:div w:id="17110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694909">
      <w:bodyDiv w:val="1"/>
      <w:marLeft w:val="0"/>
      <w:marRight w:val="0"/>
      <w:marTop w:val="0"/>
      <w:marBottom w:val="0"/>
      <w:divBdr>
        <w:top w:val="none" w:sz="0" w:space="0" w:color="auto"/>
        <w:left w:val="none" w:sz="0" w:space="0" w:color="auto"/>
        <w:bottom w:val="none" w:sz="0" w:space="0" w:color="auto"/>
        <w:right w:val="none" w:sz="0" w:space="0" w:color="auto"/>
      </w:divBdr>
    </w:div>
    <w:div w:id="845289545">
      <w:bodyDiv w:val="1"/>
      <w:marLeft w:val="0"/>
      <w:marRight w:val="0"/>
      <w:marTop w:val="0"/>
      <w:marBottom w:val="0"/>
      <w:divBdr>
        <w:top w:val="none" w:sz="0" w:space="0" w:color="auto"/>
        <w:left w:val="none" w:sz="0" w:space="0" w:color="auto"/>
        <w:bottom w:val="none" w:sz="0" w:space="0" w:color="auto"/>
        <w:right w:val="none" w:sz="0" w:space="0" w:color="auto"/>
      </w:divBdr>
    </w:div>
    <w:div w:id="1001128906">
      <w:bodyDiv w:val="1"/>
      <w:marLeft w:val="0"/>
      <w:marRight w:val="0"/>
      <w:marTop w:val="0"/>
      <w:marBottom w:val="0"/>
      <w:divBdr>
        <w:top w:val="none" w:sz="0" w:space="0" w:color="auto"/>
        <w:left w:val="none" w:sz="0" w:space="0" w:color="auto"/>
        <w:bottom w:val="none" w:sz="0" w:space="0" w:color="auto"/>
        <w:right w:val="none" w:sz="0" w:space="0" w:color="auto"/>
      </w:divBdr>
      <w:divsChild>
        <w:div w:id="861281073">
          <w:marLeft w:val="0"/>
          <w:marRight w:val="0"/>
          <w:marTop w:val="0"/>
          <w:marBottom w:val="0"/>
          <w:divBdr>
            <w:top w:val="none" w:sz="0" w:space="0" w:color="auto"/>
            <w:left w:val="none" w:sz="0" w:space="0" w:color="auto"/>
            <w:bottom w:val="none" w:sz="0" w:space="0" w:color="auto"/>
            <w:right w:val="none" w:sz="0" w:space="0" w:color="auto"/>
          </w:divBdr>
          <w:divsChild>
            <w:div w:id="540679084">
              <w:marLeft w:val="0"/>
              <w:marRight w:val="0"/>
              <w:marTop w:val="0"/>
              <w:marBottom w:val="0"/>
              <w:divBdr>
                <w:top w:val="none" w:sz="0" w:space="0" w:color="auto"/>
                <w:left w:val="none" w:sz="0" w:space="0" w:color="auto"/>
                <w:bottom w:val="none" w:sz="0" w:space="0" w:color="auto"/>
                <w:right w:val="none" w:sz="0" w:space="0" w:color="auto"/>
              </w:divBdr>
              <w:divsChild>
                <w:div w:id="2121407641">
                  <w:marLeft w:val="0"/>
                  <w:marRight w:val="0"/>
                  <w:marTop w:val="0"/>
                  <w:marBottom w:val="0"/>
                  <w:divBdr>
                    <w:top w:val="none" w:sz="0" w:space="0" w:color="auto"/>
                    <w:left w:val="none" w:sz="0" w:space="0" w:color="auto"/>
                    <w:bottom w:val="none" w:sz="0" w:space="0" w:color="auto"/>
                    <w:right w:val="none" w:sz="0" w:space="0" w:color="auto"/>
                  </w:divBdr>
                  <w:divsChild>
                    <w:div w:id="10804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15241">
      <w:bodyDiv w:val="1"/>
      <w:marLeft w:val="0"/>
      <w:marRight w:val="0"/>
      <w:marTop w:val="0"/>
      <w:marBottom w:val="0"/>
      <w:divBdr>
        <w:top w:val="none" w:sz="0" w:space="0" w:color="auto"/>
        <w:left w:val="none" w:sz="0" w:space="0" w:color="auto"/>
        <w:bottom w:val="none" w:sz="0" w:space="0" w:color="auto"/>
        <w:right w:val="none" w:sz="0" w:space="0" w:color="auto"/>
      </w:divBdr>
    </w:div>
    <w:div w:id="1073576757">
      <w:bodyDiv w:val="1"/>
      <w:marLeft w:val="0"/>
      <w:marRight w:val="0"/>
      <w:marTop w:val="0"/>
      <w:marBottom w:val="0"/>
      <w:divBdr>
        <w:top w:val="none" w:sz="0" w:space="0" w:color="auto"/>
        <w:left w:val="none" w:sz="0" w:space="0" w:color="auto"/>
        <w:bottom w:val="none" w:sz="0" w:space="0" w:color="auto"/>
        <w:right w:val="none" w:sz="0" w:space="0" w:color="auto"/>
      </w:divBdr>
    </w:div>
    <w:div w:id="1082338050">
      <w:bodyDiv w:val="1"/>
      <w:marLeft w:val="0"/>
      <w:marRight w:val="0"/>
      <w:marTop w:val="0"/>
      <w:marBottom w:val="0"/>
      <w:divBdr>
        <w:top w:val="none" w:sz="0" w:space="0" w:color="auto"/>
        <w:left w:val="none" w:sz="0" w:space="0" w:color="auto"/>
        <w:bottom w:val="none" w:sz="0" w:space="0" w:color="auto"/>
        <w:right w:val="none" w:sz="0" w:space="0" w:color="auto"/>
      </w:divBdr>
    </w:div>
    <w:div w:id="1172647939">
      <w:bodyDiv w:val="1"/>
      <w:marLeft w:val="0"/>
      <w:marRight w:val="0"/>
      <w:marTop w:val="0"/>
      <w:marBottom w:val="0"/>
      <w:divBdr>
        <w:top w:val="none" w:sz="0" w:space="0" w:color="auto"/>
        <w:left w:val="none" w:sz="0" w:space="0" w:color="auto"/>
        <w:bottom w:val="none" w:sz="0" w:space="0" w:color="auto"/>
        <w:right w:val="none" w:sz="0" w:space="0" w:color="auto"/>
      </w:divBdr>
    </w:div>
    <w:div w:id="1212839974">
      <w:bodyDiv w:val="1"/>
      <w:marLeft w:val="0"/>
      <w:marRight w:val="0"/>
      <w:marTop w:val="0"/>
      <w:marBottom w:val="0"/>
      <w:divBdr>
        <w:top w:val="none" w:sz="0" w:space="0" w:color="auto"/>
        <w:left w:val="none" w:sz="0" w:space="0" w:color="auto"/>
        <w:bottom w:val="none" w:sz="0" w:space="0" w:color="auto"/>
        <w:right w:val="none" w:sz="0" w:space="0" w:color="auto"/>
      </w:divBdr>
    </w:div>
    <w:div w:id="1273823610">
      <w:bodyDiv w:val="1"/>
      <w:marLeft w:val="0"/>
      <w:marRight w:val="0"/>
      <w:marTop w:val="0"/>
      <w:marBottom w:val="0"/>
      <w:divBdr>
        <w:top w:val="none" w:sz="0" w:space="0" w:color="auto"/>
        <w:left w:val="none" w:sz="0" w:space="0" w:color="auto"/>
        <w:bottom w:val="none" w:sz="0" w:space="0" w:color="auto"/>
        <w:right w:val="none" w:sz="0" w:space="0" w:color="auto"/>
      </w:divBdr>
    </w:div>
    <w:div w:id="1374887381">
      <w:bodyDiv w:val="1"/>
      <w:marLeft w:val="0"/>
      <w:marRight w:val="0"/>
      <w:marTop w:val="0"/>
      <w:marBottom w:val="0"/>
      <w:divBdr>
        <w:top w:val="none" w:sz="0" w:space="0" w:color="auto"/>
        <w:left w:val="none" w:sz="0" w:space="0" w:color="auto"/>
        <w:bottom w:val="none" w:sz="0" w:space="0" w:color="auto"/>
        <w:right w:val="none" w:sz="0" w:space="0" w:color="auto"/>
      </w:divBdr>
    </w:div>
    <w:div w:id="1394231532">
      <w:bodyDiv w:val="1"/>
      <w:marLeft w:val="0"/>
      <w:marRight w:val="0"/>
      <w:marTop w:val="0"/>
      <w:marBottom w:val="0"/>
      <w:divBdr>
        <w:top w:val="none" w:sz="0" w:space="0" w:color="auto"/>
        <w:left w:val="none" w:sz="0" w:space="0" w:color="auto"/>
        <w:bottom w:val="none" w:sz="0" w:space="0" w:color="auto"/>
        <w:right w:val="none" w:sz="0" w:space="0" w:color="auto"/>
      </w:divBdr>
    </w:div>
    <w:div w:id="1895921837">
      <w:bodyDiv w:val="1"/>
      <w:marLeft w:val="0"/>
      <w:marRight w:val="0"/>
      <w:marTop w:val="0"/>
      <w:marBottom w:val="0"/>
      <w:divBdr>
        <w:top w:val="none" w:sz="0" w:space="0" w:color="auto"/>
        <w:left w:val="none" w:sz="0" w:space="0" w:color="auto"/>
        <w:bottom w:val="none" w:sz="0" w:space="0" w:color="auto"/>
        <w:right w:val="none" w:sz="0" w:space="0" w:color="auto"/>
      </w:divBdr>
    </w:div>
    <w:div w:id="1913150735">
      <w:bodyDiv w:val="1"/>
      <w:marLeft w:val="0"/>
      <w:marRight w:val="0"/>
      <w:marTop w:val="0"/>
      <w:marBottom w:val="0"/>
      <w:divBdr>
        <w:top w:val="none" w:sz="0" w:space="0" w:color="auto"/>
        <w:left w:val="none" w:sz="0" w:space="0" w:color="auto"/>
        <w:bottom w:val="none" w:sz="0" w:space="0" w:color="auto"/>
        <w:right w:val="none" w:sz="0" w:space="0" w:color="auto"/>
      </w:divBdr>
    </w:div>
    <w:div w:id="1956908804">
      <w:bodyDiv w:val="1"/>
      <w:marLeft w:val="0"/>
      <w:marRight w:val="0"/>
      <w:marTop w:val="0"/>
      <w:marBottom w:val="0"/>
      <w:divBdr>
        <w:top w:val="none" w:sz="0" w:space="0" w:color="auto"/>
        <w:left w:val="none" w:sz="0" w:space="0" w:color="auto"/>
        <w:bottom w:val="none" w:sz="0" w:space="0" w:color="auto"/>
        <w:right w:val="none" w:sz="0" w:space="0" w:color="auto"/>
      </w:divBdr>
    </w:div>
    <w:div w:id="205522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astassia.Vrabi@hm.e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grid.Vaher@hm.e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la.Lood@hm.ee" TargetMode="External"/><Relationship Id="rId5" Type="http://schemas.openxmlformats.org/officeDocument/2006/relationships/numbering" Target="numbering.xml"/><Relationship Id="rId15" Type="http://schemas.openxmlformats.org/officeDocument/2006/relationships/hyperlink" Target="http://eur-lex.europa.eu/legal-content/ET/TXT/PDF/?uri=CELEX:32014R0651&amp;from=E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ak.Kask@hm.e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uraxess/pdf/research_policies/Report_of_Mapping_Exercise_on_Doctoral_Training_FINAL.pdf" TargetMode="External"/><Relationship Id="rId1" Type="http://schemas.openxmlformats.org/officeDocument/2006/relationships/hyperlink" Target="http://www.praxis.ee/wp-content/uploads/2014/03/2011-Teadus-ja-arendustegevuse-ning-korghariduse-meetmete-rakendamise-vahehindami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BF2C269C7C1B0419B04A228198C2BEA" ma:contentTypeVersion="1" ma:contentTypeDescription="Loo uus dokument" ma:contentTypeScope="" ma:versionID="6b3d590c4b908abad3201ca56fcf5819">
  <xsd:schema xmlns:xsd="http://www.w3.org/2001/XMLSchema" xmlns:xs="http://www.w3.org/2001/XMLSchema" xmlns:p="http://schemas.microsoft.com/office/2006/metadata/properties" xmlns:ns2="http://schemas.microsoft.com/sharepoint/v4" targetNamespace="http://schemas.microsoft.com/office/2006/metadata/properties" ma:root="true" ma:fieldsID="2b0ee737f965b5b17b83ef44cec291f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56ED7-D131-46D9-977D-394DD1890C4B}">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EA865FE4-5F86-4C5A-9CF5-B2007CB54348}">
  <ds:schemaRefs>
    <ds:schemaRef ds:uri="http://schemas.microsoft.com/sharepoint/v3/contenttype/forms"/>
  </ds:schemaRefs>
</ds:datastoreItem>
</file>

<file path=customXml/itemProps3.xml><?xml version="1.0" encoding="utf-8"?>
<ds:datastoreItem xmlns:ds="http://schemas.openxmlformats.org/officeDocument/2006/customXml" ds:itemID="{5678F7EE-EC0F-4E6F-8C6E-DDEA2A220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807C24-1FE4-470F-90AA-F288F9FDA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17960</Words>
  <Characters>104169</Characters>
  <Application>Microsoft Office Word</Application>
  <DocSecurity>0</DocSecurity>
  <Lines>868</Lines>
  <Paragraphs>243</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Eelnõu seletuskiri</vt:lpstr>
      <vt:lpstr>Eelnõu seletuskiri</vt:lpstr>
      <vt:lpstr>Eelnõu seletuskiri</vt:lpstr>
    </vt:vector>
  </TitlesOfParts>
  <Company/>
  <LinksUpToDate>false</LinksUpToDate>
  <CharactersWithSpaces>121886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 seletuskiri</dc:title>
  <dc:creator>Kaire Liiv</dc:creator>
  <cp:lastModifiedBy>Marvi Pulver</cp:lastModifiedBy>
  <cp:revision>2</cp:revision>
  <cp:lastPrinted>2013-11-21T10:50:00Z</cp:lastPrinted>
  <dcterms:created xsi:type="dcterms:W3CDTF">2020-04-25T16:48:00Z</dcterms:created>
  <dcterms:modified xsi:type="dcterms:W3CDTF">2020-04-25T16:48:00Z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0x010100CBF2C269C7C1B0419B04A228198C2BEA</vt:lpwstr>
  </property>
</Properties>
</file>